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05" w:rsidRDefault="00266205" w:rsidP="00266205">
      <w:pPr>
        <w:spacing w:line="360" w:lineRule="auto"/>
        <w:jc w:val="center"/>
        <w:rPr>
          <w:rFonts w:ascii="Tahoma" w:hAnsi="Tahoma" w:cs="Tahoma"/>
          <w:b/>
          <w:bCs/>
          <w:sz w:val="28"/>
          <w:szCs w:val="28"/>
        </w:rPr>
      </w:pPr>
      <w:bookmarkStart w:id="0" w:name="_GoBack"/>
      <w:bookmarkEnd w:id="0"/>
      <w:r>
        <w:rPr>
          <w:noProof/>
          <w:lang w:val="es-MX" w:eastAsia="es-MX"/>
        </w:rPr>
        <mc:AlternateContent>
          <mc:Choice Requires="wps">
            <w:drawing>
              <wp:anchor distT="0" distB="0" distL="114300" distR="114300" simplePos="0" relativeHeight="251662336" behindDoc="0" locked="0" layoutInCell="1" allowOverlap="1" wp14:anchorId="70A1E8F3" wp14:editId="0E729A95">
                <wp:simplePos x="0" y="0"/>
                <wp:positionH relativeFrom="column">
                  <wp:posOffset>2245660</wp:posOffset>
                </wp:positionH>
                <wp:positionV relativeFrom="paragraph">
                  <wp:posOffset>6981171</wp:posOffset>
                </wp:positionV>
                <wp:extent cx="3553067"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067"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205" w:rsidRDefault="00266205" w:rsidP="00266205">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1E8F3" id="_x0000_t202" coordsize="21600,21600" o:spt="202" path="m,l,21600r21600,l21600,xe">
                <v:stroke joinstyle="miter"/>
                <v:path gradientshapeok="t" o:connecttype="rect"/>
              </v:shapetype>
              <v:shape id="Cuadro de texto 1" o:spid="_x0000_s1026" type="#_x0000_t202" style="position:absolute;left:0;text-align:left;margin-left:176.8pt;margin-top:549.7pt;width:279.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" filled="f" stroked="f">
                <v:textbox>
                  <w:txbxContent>
                    <w:p w:rsidR="00266205" w:rsidRDefault="00266205" w:rsidP="00266205">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lang w:val="es-MX" w:eastAsia="es-MX"/>
        </w:rPr>
        <mc:AlternateContent>
          <mc:Choice Requires="wpg">
            <w:drawing>
              <wp:anchor distT="0" distB="0" distL="114300" distR="114300" simplePos="0" relativeHeight="251654144" behindDoc="0" locked="0" layoutInCell="1" allowOverlap="1" wp14:anchorId="2D1633A3" wp14:editId="47C7B567">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A9729"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53870B4E" wp14:editId="7EC995D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266205" w:rsidRDefault="00266205" w:rsidP="00266205">
                            <w:pPr>
                              <w:jc w:val="center"/>
                              <w:rPr>
                                <w:rFonts w:ascii="CG Omega" w:hAnsi="CG Omega"/>
                                <w:sz w:val="16"/>
                              </w:rPr>
                            </w:pPr>
                            <w:r>
                              <w:rPr>
                                <w:rFonts w:ascii="CG Omega" w:hAnsi="CG Omega"/>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v:imagedata r:id="rId8" o:title=""/>
                                </v:shape>
                                <o:OLEObject Type="Embed" ProgID="Word.Picture.8" ShapeID="_x0000_i1025" DrawAspect="Content" ObjectID="_1692605228" r:id="rId9"/>
                              </w:object>
                            </w:r>
                          </w:p>
                          <w:p w:rsidR="00266205" w:rsidRDefault="00266205" w:rsidP="00266205">
                            <w:pPr>
                              <w:rPr>
                                <w:rFonts w:ascii="Tahoma" w:hAnsi="Tahoma" w:cs="Tahoma"/>
                                <w:b/>
                                <w:sz w:val="16"/>
                              </w:rPr>
                            </w:pPr>
                          </w:p>
                          <w:p w:rsidR="00266205" w:rsidRDefault="00266205" w:rsidP="0026620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0B4E"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rsidR="00266205" w:rsidRDefault="00266205" w:rsidP="00266205">
                      <w:pPr>
                        <w:jc w:val="center"/>
                        <w:rPr>
                          <w:rFonts w:ascii="CG Omega" w:hAnsi="CG Omega"/>
                          <w:sz w:val="16"/>
                        </w:rPr>
                      </w:pPr>
                      <w:r>
                        <w:rPr>
                          <w:rFonts w:ascii="CG Omega" w:hAnsi="CG Omega"/>
                          <w:sz w:val="16"/>
                        </w:rPr>
                        <w:object w:dxaOrig="2555" w:dyaOrig="2439">
                          <v:shape id="_x0000_i1025" type="#_x0000_t75" style="width:127.9pt;height:121.95pt">
                            <v:imagedata r:id="rId8" o:title=""/>
                          </v:shape>
                          <o:OLEObject Type="Embed" ProgID="Word.Picture.8" ShapeID="_x0000_i1025" DrawAspect="Content" ObjectID="_1692605228" r:id="rId10"/>
                        </w:object>
                      </w:r>
                    </w:p>
                    <w:p w:rsidR="00266205" w:rsidRDefault="00266205" w:rsidP="00266205">
                      <w:pPr>
                        <w:rPr>
                          <w:rFonts w:ascii="Tahoma" w:hAnsi="Tahoma" w:cs="Tahoma"/>
                          <w:b/>
                          <w:sz w:val="16"/>
                        </w:rPr>
                      </w:pPr>
                    </w:p>
                    <w:p w:rsidR="00266205" w:rsidRDefault="00266205" w:rsidP="0026620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6861F2B" wp14:editId="326661C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205" w:rsidRDefault="00266205" w:rsidP="00266205">
                            <w:pPr>
                              <w:jc w:val="center"/>
                              <w:rPr>
                                <w:rFonts w:ascii="Century" w:hAnsi="Century"/>
                              </w:rPr>
                            </w:pPr>
                          </w:p>
                          <w:p w:rsidR="00266205" w:rsidRDefault="00266205" w:rsidP="0026620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THADZIU</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1F2B"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66205" w:rsidRDefault="00266205" w:rsidP="00266205">
                      <w:pPr>
                        <w:jc w:val="center"/>
                        <w:rPr>
                          <w:rFonts w:ascii="Century" w:hAnsi="Century"/>
                        </w:rPr>
                      </w:pPr>
                    </w:p>
                    <w:p w:rsidR="00266205" w:rsidRDefault="00266205" w:rsidP="0026620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THADZIU</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CC2E39F" wp14:editId="7BA2FEA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205" w:rsidRDefault="00266205" w:rsidP="00266205">
                            <w:pPr>
                              <w:jc w:val="center"/>
                              <w:rPr>
                                <w:b/>
                              </w:rPr>
                            </w:pPr>
                          </w:p>
                          <w:p w:rsidR="00266205" w:rsidRDefault="00266205" w:rsidP="00266205">
                            <w:pPr>
                              <w:jc w:val="center"/>
                              <w:rPr>
                                <w:rFonts w:ascii="Century" w:hAnsi="Century"/>
                                <w:b/>
                                <w:sz w:val="30"/>
                                <w:szCs w:val="30"/>
                              </w:rPr>
                            </w:pPr>
                            <w:r>
                              <w:rPr>
                                <w:rFonts w:ascii="Century" w:hAnsi="Century"/>
                                <w:b/>
                                <w:sz w:val="30"/>
                                <w:szCs w:val="30"/>
                              </w:rPr>
                              <w:t xml:space="preserve">SECRETARÍA GENERAL DEL </w:t>
                            </w:r>
                          </w:p>
                          <w:p w:rsidR="00266205" w:rsidRDefault="00266205" w:rsidP="00266205">
                            <w:pPr>
                              <w:jc w:val="center"/>
                              <w:rPr>
                                <w:rFonts w:ascii="Century" w:hAnsi="Century"/>
                                <w:b/>
                                <w:sz w:val="30"/>
                                <w:szCs w:val="30"/>
                              </w:rPr>
                            </w:pPr>
                            <w:r>
                              <w:rPr>
                                <w:rFonts w:ascii="Century" w:hAnsi="Century"/>
                                <w:b/>
                                <w:sz w:val="30"/>
                                <w:szCs w:val="30"/>
                              </w:rPr>
                              <w:t>PODER LEGISLATIVO</w:t>
                            </w:r>
                          </w:p>
                          <w:p w:rsidR="00266205" w:rsidRDefault="00266205" w:rsidP="00266205">
                            <w:pPr>
                              <w:jc w:val="center"/>
                              <w:rPr>
                                <w:rFonts w:ascii="Century" w:hAnsi="Century"/>
                                <w:b/>
                                <w:sz w:val="26"/>
                                <w:szCs w:val="26"/>
                              </w:rPr>
                            </w:pPr>
                          </w:p>
                          <w:p w:rsidR="00266205" w:rsidRDefault="00266205" w:rsidP="0026620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E39F"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66205" w:rsidRDefault="00266205" w:rsidP="00266205">
                      <w:pPr>
                        <w:jc w:val="center"/>
                        <w:rPr>
                          <w:b/>
                        </w:rPr>
                      </w:pPr>
                    </w:p>
                    <w:p w:rsidR="00266205" w:rsidRDefault="00266205" w:rsidP="00266205">
                      <w:pPr>
                        <w:jc w:val="center"/>
                        <w:rPr>
                          <w:rFonts w:ascii="Century" w:hAnsi="Century"/>
                          <w:b/>
                          <w:sz w:val="30"/>
                          <w:szCs w:val="30"/>
                        </w:rPr>
                      </w:pPr>
                      <w:r>
                        <w:rPr>
                          <w:rFonts w:ascii="Century" w:hAnsi="Century"/>
                          <w:b/>
                          <w:sz w:val="30"/>
                          <w:szCs w:val="30"/>
                        </w:rPr>
                        <w:t xml:space="preserve">SECRETARÍA GENERAL DEL </w:t>
                      </w:r>
                    </w:p>
                    <w:p w:rsidR="00266205" w:rsidRDefault="00266205" w:rsidP="00266205">
                      <w:pPr>
                        <w:jc w:val="center"/>
                        <w:rPr>
                          <w:rFonts w:ascii="Century" w:hAnsi="Century"/>
                          <w:b/>
                          <w:sz w:val="30"/>
                          <w:szCs w:val="30"/>
                        </w:rPr>
                      </w:pPr>
                      <w:r>
                        <w:rPr>
                          <w:rFonts w:ascii="Century" w:hAnsi="Century"/>
                          <w:b/>
                          <w:sz w:val="30"/>
                          <w:szCs w:val="30"/>
                        </w:rPr>
                        <w:t>PODER LEGISLATIVO</w:t>
                      </w:r>
                    </w:p>
                    <w:p w:rsidR="00266205" w:rsidRDefault="00266205" w:rsidP="00266205">
                      <w:pPr>
                        <w:jc w:val="center"/>
                        <w:rPr>
                          <w:rFonts w:ascii="Century" w:hAnsi="Century"/>
                          <w:b/>
                          <w:sz w:val="26"/>
                          <w:szCs w:val="26"/>
                        </w:rPr>
                      </w:pPr>
                    </w:p>
                    <w:p w:rsidR="00266205" w:rsidRDefault="00266205" w:rsidP="0026620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266205" w:rsidRDefault="00266205" w:rsidP="00266205">
      <w:pPr>
        <w:spacing w:line="360" w:lineRule="auto"/>
        <w:rPr>
          <w:rFonts w:ascii="Tahoma" w:hAnsi="Tahoma" w:cs="Tahoma"/>
          <w:b/>
          <w:bCs/>
          <w:sz w:val="28"/>
          <w:szCs w:val="28"/>
        </w:rPr>
        <w:sectPr w:rsidR="00266205" w:rsidSect="00266205">
          <w:headerReference w:type="default" r:id="rId11"/>
          <w:pgSz w:w="12240" w:h="15840"/>
          <w:pgMar w:top="1701" w:right="1134" w:bottom="1418" w:left="1985" w:header="720" w:footer="720" w:gutter="0"/>
          <w:cols w:space="720"/>
          <w:titlePg/>
          <w:docGrid w:linePitch="326"/>
        </w:sectPr>
      </w:pPr>
    </w:p>
    <w:p w:rsidR="00266205" w:rsidRPr="00266205" w:rsidRDefault="00266205" w:rsidP="00266205">
      <w:pPr>
        <w:autoSpaceDN w:val="0"/>
        <w:adjustRightInd w:val="0"/>
        <w:jc w:val="center"/>
        <w:rPr>
          <w:rFonts w:ascii="Arial" w:eastAsia="Arial" w:hAnsi="Arial" w:cs="Arial"/>
          <w:b/>
          <w:lang w:bidi="es-ES"/>
        </w:rPr>
      </w:pPr>
      <w:r w:rsidRPr="00266205">
        <w:rPr>
          <w:rFonts w:ascii="Arial" w:eastAsia="Arial" w:hAnsi="Arial" w:cs="Arial"/>
          <w:b/>
          <w:lang w:bidi="es-ES"/>
        </w:rPr>
        <w:lastRenderedPageBreak/>
        <w:t xml:space="preserve">Decreto 325/2020 </w:t>
      </w:r>
    </w:p>
    <w:p w:rsidR="00266205" w:rsidRPr="00266205" w:rsidRDefault="00266205" w:rsidP="00266205">
      <w:pPr>
        <w:autoSpaceDN w:val="0"/>
        <w:adjustRightInd w:val="0"/>
        <w:jc w:val="center"/>
        <w:rPr>
          <w:rFonts w:ascii="Arial" w:eastAsia="Arial" w:hAnsi="Arial" w:cs="Arial"/>
          <w:b/>
          <w:lang w:bidi="es-ES"/>
        </w:rPr>
      </w:pPr>
    </w:p>
    <w:p w:rsidR="00266205" w:rsidRPr="00266205" w:rsidRDefault="00266205" w:rsidP="00266205">
      <w:pPr>
        <w:autoSpaceDN w:val="0"/>
        <w:adjustRightInd w:val="0"/>
        <w:jc w:val="both"/>
        <w:rPr>
          <w:rFonts w:ascii="Arial" w:eastAsia="Arial" w:hAnsi="Arial" w:cs="Arial"/>
          <w:b/>
          <w:lang w:bidi="es-ES"/>
        </w:rPr>
      </w:pPr>
      <w:r w:rsidRPr="00266205">
        <w:rPr>
          <w:rFonts w:ascii="Arial" w:eastAsia="Arial" w:hAnsi="Arial" w:cs="Arial"/>
          <w:b/>
          <w:lang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266205" w:rsidRPr="00266205" w:rsidRDefault="00266205" w:rsidP="00266205">
      <w:pPr>
        <w:autoSpaceDN w:val="0"/>
        <w:adjustRightInd w:val="0"/>
        <w:jc w:val="both"/>
        <w:rPr>
          <w:rFonts w:ascii="Arial" w:eastAsia="Arial" w:hAnsi="Arial" w:cs="Arial"/>
          <w:lang w:bidi="es-ES"/>
        </w:rPr>
      </w:pPr>
    </w:p>
    <w:p w:rsidR="00266205" w:rsidRPr="00266205" w:rsidRDefault="00266205" w:rsidP="00266205">
      <w:pPr>
        <w:autoSpaceDN w:val="0"/>
        <w:adjustRightInd w:val="0"/>
        <w:jc w:val="both"/>
        <w:rPr>
          <w:rFonts w:ascii="Arial" w:eastAsia="Arial" w:hAnsi="Arial" w:cs="Arial"/>
          <w:lang w:bidi="es-ES"/>
        </w:rPr>
      </w:pPr>
      <w:r w:rsidRPr="00266205">
        <w:rPr>
          <w:rFonts w:ascii="Arial" w:eastAsia="Arial" w:hAnsi="Arial" w:cs="Arial"/>
          <w:lang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66205" w:rsidRPr="00266205" w:rsidRDefault="00266205" w:rsidP="00266205">
      <w:pPr>
        <w:autoSpaceDN w:val="0"/>
        <w:adjustRightInd w:val="0"/>
        <w:jc w:val="both"/>
        <w:rPr>
          <w:rFonts w:ascii="Arial" w:eastAsia="Arial" w:hAnsi="Arial" w:cs="Arial"/>
          <w:b/>
          <w:lang w:val="x-none" w:bidi="es-ES"/>
        </w:rPr>
      </w:pPr>
    </w:p>
    <w:p w:rsidR="00266205" w:rsidRPr="00266205" w:rsidRDefault="00266205" w:rsidP="00266205">
      <w:pPr>
        <w:autoSpaceDN w:val="0"/>
        <w:adjustRightInd w:val="0"/>
        <w:jc w:val="both"/>
        <w:rPr>
          <w:rFonts w:ascii="Arial" w:eastAsia="Arial" w:hAnsi="Arial" w:cs="Arial"/>
          <w:b/>
          <w:lang w:val="x-none" w:bidi="es-ES"/>
        </w:rPr>
      </w:pPr>
      <w:r w:rsidRPr="00266205">
        <w:rPr>
          <w:rFonts w:ascii="Arial" w:eastAsia="Arial" w:hAnsi="Arial" w:cs="Arial"/>
          <w:b/>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266205" w:rsidRPr="00266205" w:rsidRDefault="00266205" w:rsidP="00266205">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rsidR="00266205" w:rsidRPr="00266205" w:rsidRDefault="00266205" w:rsidP="00266205">
      <w:pPr>
        <w:tabs>
          <w:tab w:val="left" w:pos="8222"/>
        </w:tabs>
        <w:suppressAutoHyphens/>
        <w:spacing w:line="360" w:lineRule="auto"/>
        <w:ind w:right="51" w:firstLine="567"/>
        <w:jc w:val="center"/>
        <w:rPr>
          <w:rFonts w:ascii="Arial" w:hAnsi="Arial" w:cs="Arial"/>
          <w:b/>
          <w:color w:val="000000"/>
          <w:lang w:val="pt-BR" w:eastAsia="ar-SA"/>
        </w:rPr>
      </w:pPr>
      <w:r w:rsidRPr="00266205">
        <w:rPr>
          <w:rFonts w:ascii="Arial" w:hAnsi="Arial" w:cs="Arial"/>
          <w:b/>
          <w:color w:val="000000"/>
          <w:lang w:val="pt-BR" w:eastAsia="ar-SA"/>
        </w:rPr>
        <w:t>E X P O S I C I Ó N   D E   M O T I V O S:</w:t>
      </w:r>
    </w:p>
    <w:p w:rsidR="00266205" w:rsidRPr="00266205" w:rsidRDefault="00266205" w:rsidP="00266205">
      <w:pPr>
        <w:widowControl w:val="0"/>
        <w:autoSpaceDE w:val="0"/>
        <w:autoSpaceDN w:val="0"/>
        <w:ind w:firstLine="709"/>
        <w:jc w:val="both"/>
        <w:rPr>
          <w:rFonts w:ascii="Arial" w:eastAsia="Arial" w:hAnsi="Arial" w:cs="Arial"/>
          <w:sz w:val="22"/>
          <w:szCs w:val="22"/>
          <w:lang w:val="pt-BR" w:bidi="es-ES"/>
        </w:rPr>
      </w:pPr>
    </w:p>
    <w:p w:rsidR="00266205" w:rsidRPr="00266205" w:rsidRDefault="00266205" w:rsidP="00266205">
      <w:pPr>
        <w:widowControl w:val="0"/>
        <w:autoSpaceDE w:val="0"/>
        <w:autoSpaceDN w:val="0"/>
        <w:spacing w:after="120" w:line="360" w:lineRule="auto"/>
        <w:ind w:firstLine="709"/>
        <w:jc w:val="both"/>
        <w:rPr>
          <w:rFonts w:ascii="Arial" w:eastAsia="Arial" w:hAnsi="Arial" w:cs="Arial"/>
          <w:lang w:bidi="es-ES"/>
        </w:rPr>
      </w:pPr>
      <w:r w:rsidRPr="00266205">
        <w:rPr>
          <w:rFonts w:ascii="Arial" w:eastAsia="Arial" w:hAnsi="Arial" w:cs="Arial"/>
          <w:b/>
          <w:bCs/>
          <w:lang w:bidi="es-ES"/>
        </w:rPr>
        <w:t>PRIMERA</w:t>
      </w:r>
      <w:r w:rsidRPr="00266205">
        <w:rPr>
          <w:rFonts w:ascii="Arial" w:eastAsia="Arial" w:hAnsi="Arial" w:cs="Arial"/>
          <w:lang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266205" w:rsidRPr="00266205" w:rsidRDefault="00266205" w:rsidP="00266205">
      <w:pPr>
        <w:widowControl w:val="0"/>
        <w:autoSpaceDE w:val="0"/>
        <w:autoSpaceDN w:val="0"/>
        <w:spacing w:after="120" w:line="360" w:lineRule="auto"/>
        <w:ind w:firstLine="709"/>
        <w:jc w:val="both"/>
        <w:rPr>
          <w:rFonts w:ascii="Arial" w:eastAsia="Arial" w:hAnsi="Arial" w:cs="Arial"/>
          <w:sz w:val="22"/>
          <w:szCs w:val="22"/>
          <w:lang w:bidi="es-ES"/>
        </w:rPr>
      </w:pPr>
      <w:r w:rsidRPr="00266205">
        <w:rPr>
          <w:rFonts w:ascii="Arial" w:eastAsia="Arial" w:hAnsi="Arial" w:cs="Arial"/>
          <w:b/>
          <w:bCs/>
          <w:sz w:val="22"/>
          <w:szCs w:val="22"/>
          <w:lang w:bidi="es-ES"/>
        </w:rPr>
        <w:lastRenderedPageBreak/>
        <w:t>SEGUNDA.</w:t>
      </w:r>
      <w:r w:rsidRPr="00266205">
        <w:rPr>
          <w:rFonts w:ascii="Arial" w:eastAsia="Arial" w:hAnsi="Arial" w:cs="Arial"/>
          <w:sz w:val="22"/>
          <w:szCs w:val="22"/>
          <w:lang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6205">
            <w:rPr>
              <w:rFonts w:ascii="Arial" w:eastAsia="Arial" w:hAnsi="Arial" w:cs="Arial"/>
              <w:sz w:val="22"/>
              <w:szCs w:val="22"/>
              <w:lang w:bidi="es-ES"/>
            </w:rPr>
            <w:t>la Constitución</w:t>
          </w:r>
        </w:smartTag>
        <w:r w:rsidRPr="00266205">
          <w:rPr>
            <w:rFonts w:ascii="Arial" w:eastAsia="Arial" w:hAnsi="Arial" w:cs="Arial"/>
            <w:sz w:val="22"/>
            <w:szCs w:val="22"/>
            <w:lang w:bidi="es-ES"/>
          </w:rPr>
          <w:t xml:space="preserve"> Política</w:t>
        </w:r>
      </w:smartTag>
      <w:r w:rsidRPr="00266205">
        <w:rPr>
          <w:rFonts w:ascii="Arial" w:eastAsia="Arial" w:hAnsi="Arial" w:cs="Arial"/>
          <w:sz w:val="22"/>
          <w:szCs w:val="22"/>
          <w:lang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66205" w:rsidRDefault="00266205" w:rsidP="00266205">
      <w:pPr>
        <w:widowControl w:val="0"/>
        <w:autoSpaceDE w:val="0"/>
        <w:autoSpaceDN w:val="0"/>
        <w:spacing w:after="120" w:line="360" w:lineRule="auto"/>
        <w:ind w:firstLine="709"/>
        <w:jc w:val="both"/>
        <w:rPr>
          <w:rFonts w:ascii="Arial" w:eastAsia="Arial" w:hAnsi="Arial" w:cs="Arial"/>
          <w:sz w:val="22"/>
          <w:szCs w:val="22"/>
          <w:lang w:bidi="es-ES"/>
        </w:rPr>
      </w:pPr>
    </w:p>
    <w:p w:rsidR="00266205" w:rsidRPr="00266205" w:rsidRDefault="00266205" w:rsidP="00266205">
      <w:pPr>
        <w:widowControl w:val="0"/>
        <w:autoSpaceDE w:val="0"/>
        <w:autoSpaceDN w:val="0"/>
        <w:spacing w:after="120" w:line="360" w:lineRule="auto"/>
        <w:ind w:firstLine="709"/>
        <w:jc w:val="both"/>
        <w:rPr>
          <w:rFonts w:ascii="Arial" w:eastAsia="Arial" w:hAnsi="Arial" w:cs="Arial"/>
          <w:sz w:val="22"/>
          <w:szCs w:val="22"/>
          <w:lang w:bidi="es-ES"/>
        </w:rPr>
      </w:pPr>
      <w:r w:rsidRPr="00266205">
        <w:rPr>
          <w:rFonts w:ascii="Arial" w:eastAsia="Arial" w:hAnsi="Arial" w:cs="Arial"/>
          <w:sz w:val="22"/>
          <w:szCs w:val="22"/>
          <w:lang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66205" w:rsidRPr="00266205" w:rsidRDefault="00266205" w:rsidP="00266205">
      <w:pPr>
        <w:widowControl w:val="0"/>
        <w:autoSpaceDE w:val="0"/>
        <w:autoSpaceDN w:val="0"/>
        <w:spacing w:after="120"/>
        <w:ind w:left="283" w:firstLine="540"/>
        <w:jc w:val="both"/>
        <w:rPr>
          <w:rFonts w:ascii="Arial" w:eastAsia="Arial" w:hAnsi="Arial" w:cs="Arial"/>
          <w:lang w:bidi="es-ES"/>
        </w:rPr>
      </w:pPr>
    </w:p>
    <w:p w:rsidR="00266205" w:rsidRPr="00266205" w:rsidRDefault="00266205" w:rsidP="00266205">
      <w:pPr>
        <w:widowControl w:val="0"/>
        <w:autoSpaceDE w:val="0"/>
        <w:autoSpaceDN w:val="0"/>
        <w:spacing w:after="120" w:line="360" w:lineRule="auto"/>
        <w:ind w:left="283" w:firstLine="709"/>
        <w:jc w:val="both"/>
        <w:rPr>
          <w:rFonts w:ascii="Arial" w:eastAsia="Arial" w:hAnsi="Arial" w:cs="Arial"/>
          <w:sz w:val="22"/>
          <w:szCs w:val="22"/>
          <w:lang w:bidi="es-ES"/>
        </w:rPr>
      </w:pPr>
      <w:r w:rsidRPr="00266205">
        <w:rPr>
          <w:rFonts w:ascii="Arial" w:eastAsia="Arial" w:hAnsi="Arial" w:cs="Arial"/>
          <w:sz w:val="22"/>
          <w:szCs w:val="22"/>
          <w:lang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66205" w:rsidRPr="00266205" w:rsidRDefault="00266205" w:rsidP="00266205">
      <w:pPr>
        <w:widowControl w:val="0"/>
        <w:autoSpaceDE w:val="0"/>
        <w:autoSpaceDN w:val="0"/>
        <w:jc w:val="both"/>
        <w:rPr>
          <w:rFonts w:ascii="Arial" w:eastAsia="Arial" w:hAnsi="Arial" w:cs="Arial"/>
          <w:b/>
          <w:i/>
          <w:iCs/>
          <w:sz w:val="22"/>
          <w:szCs w:val="22"/>
          <w:lang w:bidi="es-ES"/>
        </w:rPr>
      </w:pPr>
    </w:p>
    <w:p w:rsidR="00266205" w:rsidRPr="00266205" w:rsidRDefault="00266205" w:rsidP="00266205">
      <w:pPr>
        <w:widowControl w:val="0"/>
        <w:autoSpaceDE w:val="0"/>
        <w:autoSpaceDN w:val="0"/>
        <w:jc w:val="both"/>
        <w:rPr>
          <w:rFonts w:ascii="Arial" w:eastAsia="Arial" w:hAnsi="Arial" w:cs="Arial"/>
          <w:b/>
          <w:i/>
          <w:iCs/>
          <w:sz w:val="22"/>
          <w:szCs w:val="22"/>
          <w:lang w:bidi="es-ES"/>
        </w:rPr>
      </w:pPr>
      <w:r w:rsidRPr="00266205">
        <w:rPr>
          <w:rFonts w:ascii="Arial" w:eastAsia="Arial" w:hAnsi="Arial" w:cs="Arial"/>
          <w:b/>
          <w:i/>
          <w:iCs/>
          <w:sz w:val="22"/>
          <w:szCs w:val="22"/>
          <w:lang w:bidi="es-ES"/>
        </w:rPr>
        <w:tab/>
      </w:r>
      <w:r w:rsidRPr="00266205">
        <w:rPr>
          <w:rFonts w:ascii="Arial" w:eastAsia="Arial" w:hAnsi="Arial" w:cs="Arial"/>
          <w:i/>
          <w:iCs/>
          <w:sz w:val="22"/>
          <w:szCs w:val="22"/>
          <w:lang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66205">
            <w:rPr>
              <w:rFonts w:ascii="Arial" w:eastAsia="Arial" w:hAnsi="Arial" w:cs="Arial"/>
              <w:i/>
              <w:iCs/>
              <w:sz w:val="22"/>
              <w:szCs w:val="22"/>
              <w:lang w:bidi="es-ES"/>
            </w:rPr>
            <w:t>la Autonomía</w:t>
          </w:r>
        </w:smartTag>
        <w:r w:rsidRPr="00266205">
          <w:rPr>
            <w:rFonts w:ascii="Arial" w:eastAsia="Arial" w:hAnsi="Arial" w:cs="Arial"/>
            <w:i/>
            <w:iCs/>
            <w:sz w:val="22"/>
            <w:szCs w:val="22"/>
            <w:lang w:bidi="es-ES"/>
          </w:rPr>
          <w:t xml:space="preserve"> Financiera</w:t>
        </w:r>
      </w:smartTag>
      <w:r w:rsidRPr="00266205">
        <w:rPr>
          <w:rFonts w:ascii="Arial" w:eastAsia="Arial" w:hAnsi="Arial" w:cs="Arial"/>
          <w:i/>
          <w:iCs/>
          <w:sz w:val="22"/>
          <w:szCs w:val="22"/>
          <w:lang w:bidi="es-ES"/>
        </w:rPr>
        <w:t xml:space="preserve"> Municipal</w:t>
      </w:r>
      <w:r w:rsidRPr="00266205">
        <w:rPr>
          <w:rFonts w:ascii="Arial" w:eastAsia="Arial" w:hAnsi="Arial" w:cs="Arial"/>
          <w:b/>
          <w:i/>
          <w:iCs/>
          <w:sz w:val="22"/>
          <w:szCs w:val="22"/>
          <w:lang w:bidi="es-ES"/>
        </w:rPr>
        <w:t xml:space="preserve"> </w:t>
      </w: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r w:rsidRPr="00266205">
        <w:rPr>
          <w:rFonts w:ascii="Arial" w:eastAsia="Arial" w:hAnsi="Arial" w:cs="Arial"/>
          <w:i/>
          <w:sz w:val="22"/>
          <w:szCs w:val="22"/>
          <w:lang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66205">
          <w:rPr>
            <w:rFonts w:ascii="Arial" w:eastAsia="Arial" w:hAnsi="Arial" w:cs="Arial"/>
            <w:i/>
            <w:sz w:val="22"/>
            <w:szCs w:val="22"/>
            <w:lang w:bidi="es-ES"/>
          </w:rPr>
          <w:t>la Revolución.”</w:t>
        </w:r>
      </w:smartTag>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r w:rsidRPr="00266205">
        <w:rPr>
          <w:rFonts w:ascii="Arial" w:eastAsia="Arial" w:hAnsi="Arial" w:cs="Arial"/>
          <w:i/>
          <w:sz w:val="22"/>
          <w:szCs w:val="22"/>
          <w:lang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266205">
        <w:rPr>
          <w:rFonts w:ascii="Arial" w:eastAsia="Arial" w:hAnsi="Arial" w:cs="Arial"/>
          <w:i/>
          <w:sz w:val="22"/>
          <w:szCs w:val="22"/>
          <w:lang w:bidi="es-ES"/>
        </w:rPr>
        <w:lastRenderedPageBreak/>
        <w:t>las Legislaturas de los Estados”.”</w:t>
      </w: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r w:rsidRPr="00266205">
        <w:rPr>
          <w:rFonts w:ascii="Arial" w:eastAsia="Arial" w:hAnsi="Arial" w:cs="Arial"/>
          <w:i/>
          <w:sz w:val="22"/>
          <w:szCs w:val="22"/>
          <w:lang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66205">
            <w:rPr>
              <w:rFonts w:ascii="Arial" w:eastAsia="Arial" w:hAnsi="Arial" w:cs="Arial"/>
              <w:i/>
              <w:sz w:val="22"/>
              <w:szCs w:val="22"/>
              <w:lang w:bidi="es-ES"/>
            </w:rPr>
            <w:t>la Legislatura</w:t>
          </w:r>
        </w:smartTag>
        <w:r w:rsidRPr="00266205">
          <w:rPr>
            <w:rFonts w:ascii="Arial" w:eastAsia="Arial" w:hAnsi="Arial" w:cs="Arial"/>
            <w:i/>
            <w:sz w:val="22"/>
            <w:szCs w:val="22"/>
            <w:lang w:bidi="es-ES"/>
          </w:rPr>
          <w:t xml:space="preserve"> Estatal.”</w:t>
        </w:r>
      </w:smartTag>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r w:rsidRPr="00266205">
        <w:rPr>
          <w:rFonts w:ascii="Arial" w:eastAsia="Arial" w:hAnsi="Arial" w:cs="Arial"/>
          <w:i/>
          <w:sz w:val="22"/>
          <w:szCs w:val="22"/>
          <w:lang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66205">
          <w:rPr>
            <w:rFonts w:ascii="Arial" w:eastAsia="Arial" w:hAnsi="Arial" w:cs="Arial"/>
            <w:i/>
            <w:sz w:val="22"/>
            <w:szCs w:val="22"/>
            <w:lang w:bidi="es-ES"/>
          </w:rPr>
          <w:t>la Nación</w:t>
        </w:r>
      </w:smartTag>
      <w:r w:rsidRPr="00266205">
        <w:rPr>
          <w:rFonts w:ascii="Arial" w:eastAsia="Arial" w:hAnsi="Arial" w:cs="Arial"/>
          <w:i/>
          <w:sz w:val="22"/>
          <w:szCs w:val="22"/>
          <w:lang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66205" w:rsidRPr="00266205" w:rsidRDefault="00266205" w:rsidP="00266205">
      <w:pPr>
        <w:widowControl w:val="0"/>
        <w:autoSpaceDE w:val="0"/>
        <w:autoSpaceDN w:val="0"/>
        <w:ind w:left="720" w:right="484"/>
        <w:jc w:val="both"/>
        <w:rPr>
          <w:rFonts w:ascii="Arial" w:eastAsia="Arial" w:hAnsi="Arial" w:cs="Arial"/>
          <w:i/>
          <w:sz w:val="22"/>
          <w:szCs w:val="22"/>
          <w:lang w:bidi="es-ES"/>
        </w:rPr>
      </w:pPr>
    </w:p>
    <w:p w:rsidR="00266205" w:rsidRPr="00266205" w:rsidRDefault="00266205" w:rsidP="00266205">
      <w:pPr>
        <w:widowControl w:val="0"/>
        <w:autoSpaceDE w:val="0"/>
        <w:autoSpaceDN w:val="0"/>
        <w:spacing w:after="120" w:line="360" w:lineRule="auto"/>
        <w:ind w:left="283"/>
        <w:jc w:val="both"/>
        <w:rPr>
          <w:rFonts w:ascii="Arial" w:eastAsia="Arial" w:hAnsi="Arial" w:cs="Arial"/>
          <w:bCs/>
          <w:sz w:val="22"/>
          <w:lang w:bidi="es-ES"/>
        </w:rPr>
      </w:pPr>
      <w:r w:rsidRPr="00266205">
        <w:rPr>
          <w:rFonts w:ascii="Arial" w:eastAsia="Arial" w:hAnsi="Arial" w:cs="Arial"/>
          <w:bCs/>
          <w:sz w:val="22"/>
          <w:lang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66205" w:rsidRPr="00266205" w:rsidRDefault="00266205" w:rsidP="00266205">
      <w:pPr>
        <w:widowControl w:val="0"/>
        <w:autoSpaceDE w:val="0"/>
        <w:autoSpaceDN w:val="0"/>
        <w:spacing w:after="120"/>
        <w:ind w:left="283"/>
        <w:rPr>
          <w:rFonts w:ascii="Arial" w:eastAsia="Arial" w:hAnsi="Arial" w:cs="Arial"/>
          <w:b/>
          <w:i/>
          <w:iCs/>
          <w:sz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6205">
            <w:rPr>
              <w:rFonts w:ascii="Arial" w:eastAsia="Arial" w:hAnsi="Arial" w:cs="Arial"/>
              <w:sz w:val="22"/>
              <w:szCs w:val="22"/>
              <w:lang w:bidi="es-ES"/>
            </w:rPr>
            <w:t>la Constitución</w:t>
          </w:r>
        </w:smartTag>
        <w:r w:rsidRPr="00266205">
          <w:rPr>
            <w:rFonts w:ascii="Arial" w:eastAsia="Arial" w:hAnsi="Arial" w:cs="Arial"/>
            <w:sz w:val="22"/>
            <w:szCs w:val="22"/>
            <w:lang w:bidi="es-ES"/>
          </w:rPr>
          <w:t xml:space="preserve"> Política</w:t>
        </w:r>
      </w:smartTag>
      <w:r w:rsidRPr="00266205">
        <w:rPr>
          <w:rFonts w:ascii="Arial" w:eastAsia="Arial" w:hAnsi="Arial" w:cs="Arial"/>
          <w:sz w:val="22"/>
          <w:szCs w:val="22"/>
          <w:lang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Para robustecer lo anterior, la Suprema Corte de Justicia de la Nación señaló en su tesis aislada denominada </w:t>
      </w:r>
      <w:r w:rsidRPr="00266205">
        <w:rPr>
          <w:rFonts w:ascii="Arial" w:eastAsia="Arial" w:hAnsi="Arial" w:cs="Arial"/>
          <w:i/>
          <w:sz w:val="22"/>
          <w:szCs w:val="22"/>
          <w:lang w:bidi="es-ES"/>
        </w:rPr>
        <w:t xml:space="preserve">“HACIENDA MUNICIPAL. PRINCIPIOS, DERECHOS Y FACULTADES EN ESA MATERIA, PREVISTOS EN EL ARTÍCULO 115, FRACCIÓN IV, DE </w:t>
      </w:r>
      <w:r w:rsidRPr="00266205">
        <w:rPr>
          <w:rFonts w:ascii="Arial" w:eastAsia="Arial" w:hAnsi="Arial" w:cs="Arial"/>
          <w:i/>
          <w:sz w:val="22"/>
          <w:szCs w:val="22"/>
          <w:lang w:bidi="es-ES"/>
        </w:rPr>
        <w:lastRenderedPageBreak/>
        <w:t>LA CONSTITUCIÓN POLÍTICA DE LOS ESTADOS UNIDOS MEXICANOS”</w:t>
      </w:r>
      <w:r w:rsidRPr="00266205">
        <w:rPr>
          <w:rFonts w:ascii="Arial" w:eastAsia="Arial" w:hAnsi="Arial" w:cs="Arial"/>
          <w:i/>
          <w:sz w:val="22"/>
          <w:szCs w:val="22"/>
          <w:vertAlign w:val="superscript"/>
          <w:lang w:bidi="es-ES"/>
        </w:rPr>
        <w:footnoteReference w:id="1"/>
      </w:r>
      <w:r w:rsidRPr="00266205">
        <w:rPr>
          <w:rFonts w:ascii="Arial" w:eastAsia="Arial" w:hAnsi="Arial" w:cs="Arial"/>
          <w:sz w:val="22"/>
          <w:szCs w:val="22"/>
          <w:lang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b/>
          <w:sz w:val="22"/>
          <w:szCs w:val="22"/>
          <w:lang w:bidi="es-ES"/>
        </w:rPr>
        <w:t xml:space="preserve">TERCERA. </w:t>
      </w:r>
      <w:r w:rsidRPr="00266205">
        <w:rPr>
          <w:rFonts w:ascii="Arial" w:eastAsia="Arial" w:hAnsi="Arial" w:cs="Arial"/>
          <w:sz w:val="22"/>
          <w:szCs w:val="22"/>
          <w:lang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66205" w:rsidRPr="00266205" w:rsidRDefault="00266205" w:rsidP="00266205">
      <w:pPr>
        <w:widowControl w:val="0"/>
        <w:autoSpaceDE w:val="0"/>
        <w:autoSpaceDN w:val="0"/>
        <w:ind w:firstLine="708"/>
        <w:jc w:val="both"/>
        <w:rPr>
          <w:rFonts w:ascii="Arial" w:eastAsia="Arial" w:hAnsi="Arial" w:cs="Arial"/>
          <w:sz w:val="22"/>
          <w:szCs w:val="22"/>
          <w:highlight w:val="yellow"/>
          <w:lang w:bidi="es-ES"/>
        </w:rPr>
      </w:pPr>
    </w:p>
    <w:p w:rsidR="00266205" w:rsidRPr="00266205" w:rsidRDefault="00266205" w:rsidP="00266205">
      <w:pPr>
        <w:widowControl w:val="0"/>
        <w:shd w:val="clear" w:color="auto" w:fill="FFFFFF"/>
        <w:autoSpaceDE w:val="0"/>
        <w:autoSpaceDN w:val="0"/>
        <w:spacing w:after="120" w:line="360" w:lineRule="auto"/>
        <w:jc w:val="both"/>
        <w:rPr>
          <w:rFonts w:ascii="Arial" w:eastAsia="Arial" w:hAnsi="Arial" w:cs="Arial"/>
          <w:sz w:val="22"/>
          <w:szCs w:val="22"/>
          <w:lang w:bidi="es-ES"/>
        </w:rPr>
      </w:pPr>
      <w:r w:rsidRPr="00266205">
        <w:rPr>
          <w:rFonts w:ascii="Arial" w:eastAsia="Arial" w:hAnsi="Arial" w:cs="Arial"/>
          <w:b/>
          <w:sz w:val="22"/>
          <w:szCs w:val="22"/>
          <w:lang w:bidi="es-ES"/>
        </w:rPr>
        <w:tab/>
        <w:t xml:space="preserve">CUARTA. </w:t>
      </w:r>
      <w:r w:rsidRPr="00266205">
        <w:rPr>
          <w:rFonts w:ascii="Arial" w:eastAsia="Arial" w:hAnsi="Arial" w:cs="Arial"/>
          <w:sz w:val="22"/>
          <w:szCs w:val="22"/>
          <w:lang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266205" w:rsidRPr="00266205" w:rsidRDefault="00266205" w:rsidP="00266205">
      <w:pPr>
        <w:widowControl w:val="0"/>
        <w:shd w:val="clear" w:color="auto" w:fill="FFFFFF"/>
        <w:autoSpaceDE w:val="0"/>
        <w:autoSpaceDN w:val="0"/>
        <w:jc w:val="both"/>
        <w:rPr>
          <w:rFonts w:ascii="Arial" w:eastAsia="Arial" w:hAnsi="Arial" w:cs="Arial"/>
          <w:b/>
          <w:sz w:val="22"/>
          <w:szCs w:val="22"/>
          <w:lang w:bidi="es-ES"/>
        </w:rPr>
      </w:pPr>
    </w:p>
    <w:p w:rsid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lastRenderedPageBreak/>
        <w:t>Es de estudiado derecho que todo acto de autoridad, para cumplir con el principio de legalidad, debe encontrarse suficientemente fundado y motivado, siendo que las actuaciones que realiza este Poder Legislativo no son la excepción.</w:t>
      </w: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El Pleno de la Suprema Corte de Justicia de la Nación ha señalado que la fundamentación puede ser de dos tipos: </w:t>
      </w:r>
      <w:r w:rsidRPr="00266205">
        <w:rPr>
          <w:rFonts w:ascii="Arial" w:eastAsia="Arial" w:hAnsi="Arial" w:cs="Arial"/>
          <w:i/>
          <w:sz w:val="22"/>
          <w:szCs w:val="22"/>
          <w:lang w:bidi="es-ES"/>
        </w:rPr>
        <w:t xml:space="preserve">reforzada </w:t>
      </w:r>
      <w:r w:rsidRPr="00266205">
        <w:rPr>
          <w:rFonts w:ascii="Arial" w:eastAsia="Arial" w:hAnsi="Arial" w:cs="Arial"/>
          <w:sz w:val="22"/>
          <w:szCs w:val="22"/>
          <w:lang w:bidi="es-ES"/>
        </w:rPr>
        <w:t>y</w:t>
      </w:r>
      <w:r w:rsidRPr="00266205">
        <w:rPr>
          <w:rFonts w:ascii="Arial" w:eastAsia="Arial" w:hAnsi="Arial" w:cs="Arial"/>
          <w:i/>
          <w:sz w:val="22"/>
          <w:szCs w:val="22"/>
          <w:lang w:bidi="es-ES"/>
        </w:rPr>
        <w:t xml:space="preserve"> ordinaria</w:t>
      </w:r>
      <w:r w:rsidRPr="00266205">
        <w:rPr>
          <w:rFonts w:ascii="Arial" w:eastAsia="Arial" w:hAnsi="Arial" w:cs="Arial"/>
          <w:b/>
          <w:sz w:val="22"/>
          <w:szCs w:val="22"/>
          <w:lang w:bidi="es-ES"/>
        </w:rPr>
        <w:t xml:space="preserve">. </w:t>
      </w:r>
      <w:r w:rsidRPr="00266205">
        <w:rPr>
          <w:rFonts w:ascii="Arial" w:eastAsia="Arial" w:hAnsi="Arial" w:cs="Arial"/>
          <w:sz w:val="22"/>
          <w:szCs w:val="22"/>
          <w:lang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66205" w:rsidRPr="00266205" w:rsidRDefault="00266205" w:rsidP="00266205">
      <w:pPr>
        <w:widowControl w:val="0"/>
        <w:autoSpaceDE w:val="0"/>
        <w:autoSpaceDN w:val="0"/>
        <w:jc w:val="both"/>
        <w:rPr>
          <w:rFonts w:ascii="Arial" w:eastAsia="Arial" w:hAnsi="Arial" w:cs="Arial"/>
          <w:b/>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Lo anterior, de conformidad con la jurisprudencia en materia constitucional emitida por el Pleno del máximo tribunal que señala lo siguiente:</w:t>
      </w:r>
    </w:p>
    <w:p w:rsidR="00266205" w:rsidRPr="00266205" w:rsidRDefault="00266205" w:rsidP="00266205">
      <w:pPr>
        <w:widowControl w:val="0"/>
        <w:autoSpaceDE w:val="0"/>
        <w:autoSpaceDN w:val="0"/>
        <w:ind w:left="708"/>
        <w:jc w:val="both"/>
        <w:rPr>
          <w:rFonts w:ascii="Arial" w:eastAsia="Arial" w:hAnsi="Arial" w:cs="Arial"/>
          <w:sz w:val="22"/>
          <w:szCs w:val="22"/>
          <w:lang w:bidi="es-ES"/>
        </w:rPr>
      </w:pPr>
    </w:p>
    <w:p w:rsidR="00266205" w:rsidRPr="00266205" w:rsidRDefault="00266205" w:rsidP="00266205">
      <w:pPr>
        <w:widowControl w:val="0"/>
        <w:autoSpaceDE w:val="0"/>
        <w:autoSpaceDN w:val="0"/>
        <w:ind w:left="708"/>
        <w:jc w:val="both"/>
        <w:rPr>
          <w:rFonts w:ascii="Arial" w:eastAsia="Arial" w:hAnsi="Arial" w:cs="Arial"/>
          <w:i/>
          <w:sz w:val="20"/>
          <w:szCs w:val="20"/>
          <w:lang w:val="pt-BR" w:bidi="es-ES"/>
        </w:rPr>
      </w:pPr>
      <w:r w:rsidRPr="00266205">
        <w:rPr>
          <w:rFonts w:ascii="Arial" w:eastAsia="Arial" w:hAnsi="Arial" w:cs="Arial"/>
          <w:i/>
          <w:sz w:val="20"/>
          <w:szCs w:val="20"/>
          <w:lang w:val="pt-BR" w:bidi="es-ES"/>
        </w:rPr>
        <w:t xml:space="preserve">Época: Novena Época </w:t>
      </w:r>
    </w:p>
    <w:p w:rsidR="00266205" w:rsidRPr="00266205" w:rsidRDefault="00266205" w:rsidP="00266205">
      <w:pPr>
        <w:widowControl w:val="0"/>
        <w:autoSpaceDE w:val="0"/>
        <w:autoSpaceDN w:val="0"/>
        <w:ind w:left="708"/>
        <w:jc w:val="both"/>
        <w:rPr>
          <w:rFonts w:ascii="Arial" w:eastAsia="Arial" w:hAnsi="Arial" w:cs="Arial"/>
          <w:i/>
          <w:sz w:val="20"/>
          <w:szCs w:val="20"/>
          <w:lang w:val="pt-BR" w:bidi="es-ES"/>
        </w:rPr>
      </w:pPr>
      <w:r w:rsidRPr="00266205">
        <w:rPr>
          <w:rFonts w:ascii="Arial" w:eastAsia="Arial" w:hAnsi="Arial" w:cs="Arial"/>
          <w:i/>
          <w:sz w:val="20"/>
          <w:szCs w:val="20"/>
          <w:lang w:val="pt-BR" w:bidi="es-ES"/>
        </w:rPr>
        <w:t xml:space="preserve">Registro: 165745 </w:t>
      </w:r>
    </w:p>
    <w:p w:rsidR="00266205" w:rsidRPr="00266205" w:rsidRDefault="00266205" w:rsidP="00266205">
      <w:pPr>
        <w:widowControl w:val="0"/>
        <w:autoSpaceDE w:val="0"/>
        <w:autoSpaceDN w:val="0"/>
        <w:ind w:left="708"/>
        <w:jc w:val="both"/>
        <w:rPr>
          <w:rFonts w:ascii="Arial" w:eastAsia="Arial" w:hAnsi="Arial" w:cs="Arial"/>
          <w:i/>
          <w:sz w:val="20"/>
          <w:szCs w:val="20"/>
          <w:lang w:val="pt-BR" w:bidi="es-ES"/>
        </w:rPr>
      </w:pPr>
      <w:r w:rsidRPr="00266205">
        <w:rPr>
          <w:rFonts w:ascii="Arial" w:eastAsia="Arial" w:hAnsi="Arial" w:cs="Arial"/>
          <w:i/>
          <w:sz w:val="20"/>
          <w:szCs w:val="20"/>
          <w:lang w:val="pt-BR" w:bidi="es-ES"/>
        </w:rPr>
        <w:t xml:space="preserve">Instancia: Pleno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Tipo de Tesis: Jurisprudencia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Fuente: Semanario Judicial de la Federación y su Gaceta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Tomo XXX, Diciembre de 2009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Materia(s): Constitucional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lastRenderedPageBreak/>
        <w:t xml:space="preserve">Tesis: P./J. 120/2009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Página: 1255 </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p>
    <w:p w:rsidR="00266205" w:rsidRPr="00266205" w:rsidRDefault="00266205" w:rsidP="00266205">
      <w:pPr>
        <w:widowControl w:val="0"/>
        <w:autoSpaceDE w:val="0"/>
        <w:autoSpaceDN w:val="0"/>
        <w:ind w:left="708"/>
        <w:jc w:val="both"/>
        <w:rPr>
          <w:rFonts w:ascii="Arial" w:eastAsia="Arial" w:hAnsi="Arial" w:cs="Arial"/>
          <w:b/>
          <w:i/>
          <w:sz w:val="20"/>
          <w:szCs w:val="20"/>
          <w:lang w:bidi="es-ES"/>
        </w:rPr>
      </w:pPr>
      <w:r w:rsidRPr="00266205">
        <w:rPr>
          <w:rFonts w:ascii="Arial" w:eastAsia="Arial" w:hAnsi="Arial" w:cs="Arial"/>
          <w:b/>
          <w:i/>
          <w:sz w:val="20"/>
          <w:szCs w:val="20"/>
          <w:lang w:bidi="es-ES"/>
        </w:rPr>
        <w:t>MOTIVACIÓN LEGISLATIVA. CLASES, CONCEPTO Y CARACTERÍSTICAS.</w:t>
      </w: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p>
    <w:p w:rsidR="00266205" w:rsidRPr="00266205" w:rsidRDefault="00266205" w:rsidP="00266205">
      <w:pPr>
        <w:widowControl w:val="0"/>
        <w:autoSpaceDE w:val="0"/>
        <w:autoSpaceDN w:val="0"/>
        <w:ind w:left="708"/>
        <w:jc w:val="both"/>
        <w:rPr>
          <w:rFonts w:ascii="Arial" w:eastAsia="Arial" w:hAnsi="Arial" w:cs="Arial"/>
          <w:i/>
          <w:sz w:val="20"/>
          <w:szCs w:val="20"/>
          <w:lang w:bidi="es-ES"/>
        </w:rPr>
      </w:pPr>
      <w:r w:rsidRPr="00266205">
        <w:rPr>
          <w:rFonts w:ascii="Arial" w:eastAsia="Arial" w:hAnsi="Arial" w:cs="Arial"/>
          <w:i/>
          <w:sz w:val="20"/>
          <w:szCs w:val="20"/>
          <w:lang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266205">
        <w:rPr>
          <w:rFonts w:ascii="Arial" w:eastAsia="Arial" w:hAnsi="Arial" w:cs="Arial"/>
          <w:b/>
          <w:i/>
          <w:sz w:val="20"/>
          <w:szCs w:val="20"/>
          <w:u w:val="single"/>
          <w:lang w:bidi="es-ES"/>
        </w:rPr>
        <w:t>el de la organización administrativa del Estado</w:t>
      </w:r>
      <w:r w:rsidRPr="00266205">
        <w:rPr>
          <w:rFonts w:ascii="Arial" w:eastAsia="Arial" w:hAnsi="Arial" w:cs="Arial"/>
          <w:i/>
          <w:sz w:val="20"/>
          <w:szCs w:val="20"/>
          <w:lang w:bidi="es-ES"/>
        </w:rPr>
        <w:t xml:space="preserve"> y, en general, </w:t>
      </w:r>
      <w:r w:rsidRPr="00266205">
        <w:rPr>
          <w:rFonts w:ascii="Arial" w:eastAsia="Arial" w:hAnsi="Arial" w:cs="Arial"/>
          <w:b/>
          <w:i/>
          <w:sz w:val="20"/>
          <w:szCs w:val="20"/>
          <w:u w:val="single"/>
          <w:lang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266205">
        <w:rPr>
          <w:rFonts w:ascii="Arial" w:eastAsia="Arial" w:hAnsi="Arial" w:cs="Arial"/>
          <w:i/>
          <w:sz w:val="20"/>
          <w:szCs w:val="20"/>
          <w:lang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En tales consecuencias, es evidente que el máximo tribunal del País ha establecido que en determinadas materias basta con una motivación ordinaria para que el acto realizado </w:t>
      </w:r>
      <w:r w:rsidRPr="00266205">
        <w:rPr>
          <w:rFonts w:ascii="Arial" w:eastAsia="Arial" w:hAnsi="Arial" w:cs="Arial"/>
          <w:sz w:val="22"/>
          <w:szCs w:val="22"/>
          <w:lang w:bidi="es-ES"/>
        </w:rPr>
        <w:lastRenderedPageBreak/>
        <w:t>cumpla con el fin que se pretende, ya que en tales situaciones, la propia norma otorga facultades discrecionales a los poderes políticos, que tornan imposible una motivación reforzada.</w:t>
      </w: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i/>
          <w:sz w:val="22"/>
          <w:szCs w:val="22"/>
          <w:lang w:eastAsia="es-MX" w:bidi="es-ES"/>
        </w:rPr>
      </w:pPr>
      <w:r w:rsidRPr="00266205">
        <w:rPr>
          <w:rFonts w:ascii="Arial" w:eastAsia="Arial" w:hAnsi="Arial" w:cs="Arial"/>
          <w:sz w:val="22"/>
          <w:szCs w:val="22"/>
          <w:lang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266205">
        <w:rPr>
          <w:rFonts w:ascii="Arial" w:eastAsia="Arial" w:hAnsi="Arial" w:cs="Arial"/>
          <w:sz w:val="22"/>
          <w:szCs w:val="22"/>
          <w:lang w:eastAsia="es-MX" w:bidi="es-ES"/>
        </w:rPr>
        <w:t>Sin embargo,</w:t>
      </w:r>
      <w:r w:rsidRPr="00266205">
        <w:rPr>
          <w:rFonts w:ascii="Arial" w:eastAsia="Arial" w:hAnsi="Arial" w:cs="Arial"/>
          <w:sz w:val="30"/>
          <w:szCs w:val="30"/>
          <w:lang w:eastAsia="es-MX" w:bidi="es-ES"/>
        </w:rPr>
        <w:t xml:space="preserve"> </w:t>
      </w:r>
      <w:r w:rsidRPr="00266205">
        <w:rPr>
          <w:rFonts w:ascii="Arial" w:eastAsia="Arial" w:hAnsi="Arial" w:cs="Arial"/>
          <w:sz w:val="22"/>
          <w:szCs w:val="22"/>
          <w:lang w:eastAsia="es-MX" w:bidi="es-ES"/>
        </w:rPr>
        <w:t xml:space="preserve">no debe perderse de vista que </w:t>
      </w:r>
      <w:r w:rsidRPr="00266205">
        <w:rPr>
          <w:rFonts w:ascii="Arial" w:eastAsia="Arial" w:hAnsi="Arial" w:cs="Arial"/>
          <w:i/>
          <w:sz w:val="22"/>
          <w:szCs w:val="22"/>
          <w:lang w:eastAsia="es-MX" w:bidi="es-ES"/>
        </w:rPr>
        <w:t>“las legislaturas estatales no están obligadas a aprobar, sin más, las propuestas de los Municipios […], pues no deja de tratarse de la expedición de leyes tributarias a nivel municipal, cuya potestad conservan aquéllas…”</w:t>
      </w:r>
      <w:r w:rsidRPr="00266205">
        <w:rPr>
          <w:rFonts w:ascii="Arial" w:eastAsia="Arial" w:hAnsi="Arial" w:cs="Arial"/>
          <w:i/>
          <w:sz w:val="22"/>
          <w:szCs w:val="22"/>
          <w:vertAlign w:val="superscript"/>
          <w:lang w:eastAsia="es-MX" w:bidi="es-ES"/>
        </w:rPr>
        <w:footnoteReference w:id="2"/>
      </w:r>
      <w:r w:rsidRPr="00266205">
        <w:rPr>
          <w:rFonts w:ascii="Arial" w:eastAsia="Arial" w:hAnsi="Arial" w:cs="Arial"/>
          <w:i/>
          <w:sz w:val="22"/>
          <w:szCs w:val="22"/>
          <w:lang w:eastAsia="es-MX" w:bidi="es-ES"/>
        </w:rPr>
        <w:t>.</w:t>
      </w:r>
    </w:p>
    <w:p w:rsidR="00266205" w:rsidRPr="00266205" w:rsidRDefault="00266205" w:rsidP="00266205">
      <w:pPr>
        <w:widowControl w:val="0"/>
        <w:autoSpaceDE w:val="0"/>
        <w:autoSpaceDN w:val="0"/>
        <w:jc w:val="both"/>
        <w:rPr>
          <w:rFonts w:ascii="Arial" w:eastAsia="Arial" w:hAnsi="Arial" w:cs="Arial"/>
          <w:i/>
          <w:sz w:val="22"/>
          <w:szCs w:val="22"/>
          <w:lang w:eastAsia="es-MX"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eastAsia="es-MX" w:bidi="es-ES"/>
        </w:rPr>
        <w:t xml:space="preserve">En este sentido, al resolverse la controversia constitucional 10/2014 el pleno de la Suprema Corte de Justicia de la Nación estableció que </w:t>
      </w:r>
      <w:r w:rsidRPr="00266205">
        <w:rPr>
          <w:rFonts w:ascii="Arial" w:eastAsia="Arial" w:hAnsi="Arial" w:cs="Arial"/>
          <w:sz w:val="22"/>
          <w:szCs w:val="22"/>
          <w:lang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9"/>
        <w:jc w:val="both"/>
        <w:rPr>
          <w:rFonts w:ascii="Arial" w:eastAsia="Arial" w:hAnsi="Arial" w:cs="Arial"/>
          <w:sz w:val="22"/>
          <w:szCs w:val="22"/>
          <w:lang w:bidi="es-ES"/>
        </w:rPr>
      </w:pPr>
      <w:r w:rsidRPr="00266205">
        <w:rPr>
          <w:rFonts w:ascii="Arial" w:eastAsia="Arial" w:hAnsi="Arial" w:cs="Arial"/>
          <w:b/>
          <w:sz w:val="22"/>
          <w:szCs w:val="22"/>
          <w:lang w:bidi="es-ES"/>
        </w:rPr>
        <w:t xml:space="preserve">QUINTA. </w:t>
      </w:r>
      <w:r w:rsidRPr="00266205">
        <w:rPr>
          <w:rFonts w:ascii="Arial" w:eastAsia="Arial" w:hAnsi="Arial" w:cs="Arial"/>
          <w:sz w:val="22"/>
          <w:szCs w:val="22"/>
          <w:lang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w:t>
      </w:r>
      <w:r w:rsidRPr="00266205">
        <w:rPr>
          <w:rFonts w:ascii="Arial" w:eastAsia="Arial" w:hAnsi="Arial" w:cs="Arial"/>
          <w:sz w:val="22"/>
          <w:szCs w:val="22"/>
          <w:lang w:bidi="es-ES"/>
        </w:rPr>
        <w:lastRenderedPageBreak/>
        <w:t>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266205" w:rsidRPr="00266205" w:rsidRDefault="00266205" w:rsidP="00266205">
      <w:pPr>
        <w:widowControl w:val="0"/>
        <w:autoSpaceDE w:val="0"/>
        <w:autoSpaceDN w:val="0"/>
        <w:ind w:firstLine="709"/>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9"/>
        <w:jc w:val="both"/>
        <w:rPr>
          <w:rFonts w:ascii="Arial" w:eastAsia="Arial" w:hAnsi="Arial" w:cs="Arial"/>
          <w:sz w:val="22"/>
          <w:szCs w:val="22"/>
          <w:lang w:bidi="es-ES"/>
        </w:rPr>
      </w:pPr>
      <w:r w:rsidRPr="00266205">
        <w:rPr>
          <w:rFonts w:ascii="Arial" w:eastAsia="Arial" w:hAnsi="Arial" w:cs="Arial"/>
          <w:sz w:val="22"/>
          <w:szCs w:val="22"/>
          <w:lang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266205" w:rsidRPr="00266205" w:rsidRDefault="00266205" w:rsidP="00266205">
      <w:pPr>
        <w:widowControl w:val="0"/>
        <w:autoSpaceDE w:val="0"/>
        <w:autoSpaceDN w:val="0"/>
        <w:ind w:firstLine="709"/>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Es así que, de acuerdo a lo anteriormente señalado, las leyes de ingresos municipales presentan un apartado en donde se proyecta el pronóstico de ingresos, que </w:t>
      </w:r>
      <w:r w:rsidRPr="00266205">
        <w:rPr>
          <w:rFonts w:ascii="Arial" w:eastAsia="Arial" w:hAnsi="Arial" w:cs="Arial"/>
          <w:sz w:val="22"/>
          <w:szCs w:val="22"/>
          <w:lang w:bidi="es-ES"/>
        </w:rPr>
        <w:lastRenderedPageBreak/>
        <w:t xml:space="preserve">refiere únicamente a las estimaciones que el ayuntamiento pretende percibir durante el ejercicio fiscal 2021, en donde se da cumplimiento con la normatividad federal y estatal antes señalada, en materia de armonización contable. </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shd w:val="clear" w:color="auto" w:fill="FFFFFF"/>
        <w:autoSpaceDE w:val="0"/>
        <w:autoSpaceDN w:val="0"/>
        <w:spacing w:line="360" w:lineRule="auto"/>
        <w:ind w:right="5" w:firstLine="708"/>
        <w:jc w:val="both"/>
        <w:rPr>
          <w:rFonts w:ascii="Arial" w:eastAsia="Arial" w:hAnsi="Arial" w:cs="Arial"/>
          <w:sz w:val="22"/>
          <w:szCs w:val="22"/>
          <w:lang w:bidi="es-ES"/>
        </w:rPr>
      </w:pPr>
      <w:r w:rsidRPr="00266205">
        <w:rPr>
          <w:rFonts w:ascii="Arial" w:eastAsia="Arial" w:hAnsi="Arial" w:cs="Arial"/>
          <w:b/>
          <w:bCs/>
          <w:sz w:val="22"/>
          <w:szCs w:val="22"/>
          <w:lang w:bidi="es-ES"/>
        </w:rPr>
        <w:t xml:space="preserve">SEXTA. </w:t>
      </w:r>
      <w:r w:rsidRPr="00266205">
        <w:rPr>
          <w:rFonts w:ascii="Arial" w:eastAsia="Arial" w:hAnsi="Arial" w:cs="Arial"/>
          <w:sz w:val="22"/>
          <w:szCs w:val="22"/>
          <w:lang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bCs/>
          <w:sz w:val="22"/>
          <w:szCs w:val="22"/>
          <w:lang w:bidi="es-ES"/>
        </w:rPr>
        <w:t xml:space="preserve">En este contexto, se resalta que los recursos que pretenden obtener dichos </w:t>
      </w:r>
      <w:r w:rsidRPr="00266205">
        <w:rPr>
          <w:rFonts w:ascii="Arial" w:eastAsia="Arial" w:hAnsi="Arial" w:cs="Arial"/>
          <w:bCs/>
          <w:sz w:val="22"/>
          <w:szCs w:val="22"/>
          <w:lang w:bidi="es-ES"/>
        </w:rPr>
        <w:br/>
        <w:t xml:space="preserve">ayuntamientos </w:t>
      </w:r>
      <w:r w:rsidRPr="00266205">
        <w:rPr>
          <w:rFonts w:ascii="Arial" w:eastAsia="Arial" w:hAnsi="Arial" w:cs="Arial"/>
          <w:bCs/>
          <w:sz w:val="22"/>
          <w:szCs w:val="22"/>
          <w:lang w:val="es-MX" w:bidi="es-ES"/>
        </w:rPr>
        <w:t xml:space="preserve">no son objeto de un empréstito o deuda pública; toda vez que para que el municipio pueda contraer una deuda o empréstito, es necesario </w:t>
      </w:r>
      <w:r w:rsidRPr="00266205">
        <w:rPr>
          <w:rFonts w:ascii="Arial" w:eastAsia="Arial" w:hAnsi="Arial" w:cs="Arial"/>
          <w:bCs/>
          <w:sz w:val="22"/>
          <w:szCs w:val="22"/>
          <w:lang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266205">
        <w:rPr>
          <w:rFonts w:ascii="Arial" w:eastAsia="Arial" w:hAnsi="Arial" w:cs="Arial"/>
          <w:sz w:val="22"/>
          <w:szCs w:val="22"/>
          <w:lang w:bidi="es-ES"/>
        </w:rPr>
        <w:t>En este sentido, estimamos que con el objeto que el municipio pueda hacer frente de forma adecuada a la situación financiera en la que se encuentra, conserven la proyección que en convenios pretenden percibir en su ley de ingresos.</w:t>
      </w:r>
    </w:p>
    <w:p w:rsidR="00266205" w:rsidRPr="00266205" w:rsidRDefault="00266205" w:rsidP="00266205">
      <w:pPr>
        <w:widowControl w:val="0"/>
        <w:autoSpaceDE w:val="0"/>
        <w:autoSpaceDN w:val="0"/>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b/>
          <w:sz w:val="22"/>
          <w:szCs w:val="22"/>
          <w:lang w:bidi="es-ES"/>
        </w:rPr>
        <w:t>SÉPTIMA.</w:t>
      </w:r>
      <w:r w:rsidRPr="00266205">
        <w:rPr>
          <w:rFonts w:ascii="Arial" w:eastAsia="Arial" w:hAnsi="Arial" w:cs="Arial"/>
          <w:sz w:val="22"/>
          <w:szCs w:val="22"/>
          <w:lang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266205">
        <w:rPr>
          <w:rFonts w:ascii="Arial" w:eastAsia="Arial" w:hAnsi="Arial" w:cs="Arial"/>
          <w:i/>
          <w:sz w:val="22"/>
          <w:szCs w:val="22"/>
          <w:lang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266205">
        <w:rPr>
          <w:rFonts w:ascii="Arial" w:eastAsia="Arial" w:hAnsi="Arial" w:cs="Arial"/>
          <w:sz w:val="22"/>
          <w:szCs w:val="22"/>
          <w:lang w:bidi="es-ES"/>
        </w:rPr>
        <w:t>emitida por la Suprema Corte de Justicia de la Nación.</w:t>
      </w:r>
      <w:r w:rsidRPr="00266205">
        <w:rPr>
          <w:rFonts w:ascii="Arial" w:eastAsia="Arial" w:hAnsi="Arial" w:cs="Arial"/>
          <w:sz w:val="22"/>
          <w:szCs w:val="22"/>
          <w:vertAlign w:val="superscript"/>
          <w:lang w:bidi="es-ES"/>
        </w:rPr>
        <w:footnoteReference w:id="3"/>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jc w:val="both"/>
        <w:rPr>
          <w:rFonts w:ascii="Arial" w:eastAsia="Arial" w:hAnsi="Arial" w:cs="Arial"/>
          <w:i/>
          <w:sz w:val="22"/>
          <w:szCs w:val="22"/>
          <w:lang w:bidi="es-ES"/>
        </w:rPr>
      </w:pPr>
      <w:r w:rsidRPr="00266205">
        <w:rPr>
          <w:rFonts w:ascii="Arial" w:eastAsia="Arial" w:hAnsi="Arial" w:cs="Arial"/>
          <w:sz w:val="22"/>
          <w:szCs w:val="22"/>
          <w:lang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w:t>
      </w:r>
      <w:r w:rsidRPr="00266205">
        <w:rPr>
          <w:rFonts w:ascii="Arial" w:eastAsia="Arial" w:hAnsi="Arial" w:cs="Arial"/>
          <w:sz w:val="22"/>
          <w:szCs w:val="22"/>
          <w:lang w:bidi="es-ES"/>
        </w:rPr>
        <w:lastRenderedPageBreak/>
        <w:t xml:space="preserve">Diario Oficial de la Federación, que establece que: </w:t>
      </w:r>
      <w:r w:rsidRPr="00266205">
        <w:rPr>
          <w:rFonts w:ascii="Arial" w:eastAsia="Arial" w:hAnsi="Arial" w:cs="Arial"/>
          <w:i/>
          <w:sz w:val="22"/>
          <w:szCs w:val="22"/>
          <w:lang w:bidi="es-ES"/>
        </w:rPr>
        <w:t>“el ejercicio del derecho de acceso a la información es gratuito y sólo podrá requerirse el cobro correspondiente a la modalidad de reproducción y entrega solicitada.”</w:t>
      </w:r>
    </w:p>
    <w:p w:rsidR="00266205" w:rsidRPr="00266205" w:rsidRDefault="00266205" w:rsidP="00266205">
      <w:pPr>
        <w:widowControl w:val="0"/>
        <w:autoSpaceDE w:val="0"/>
        <w:autoSpaceDN w:val="0"/>
        <w:jc w:val="both"/>
        <w:rPr>
          <w:rFonts w:ascii="Arial" w:eastAsia="Arial" w:hAnsi="Arial" w:cs="Arial"/>
          <w:i/>
          <w:sz w:val="22"/>
          <w:szCs w:val="22"/>
          <w:lang w:bidi="es-ES"/>
        </w:rPr>
      </w:pPr>
    </w:p>
    <w:p w:rsidR="00266205" w:rsidRPr="00266205" w:rsidRDefault="00266205" w:rsidP="00266205">
      <w:pPr>
        <w:widowControl w:val="0"/>
        <w:autoSpaceDE w:val="0"/>
        <w:autoSpaceDN w:val="0"/>
        <w:spacing w:line="360" w:lineRule="auto"/>
        <w:jc w:val="both"/>
        <w:rPr>
          <w:rFonts w:ascii="Arial" w:eastAsia="Arial" w:hAnsi="Arial" w:cs="Arial"/>
          <w:sz w:val="22"/>
          <w:szCs w:val="22"/>
          <w:lang w:bidi="es-ES"/>
        </w:rPr>
      </w:pPr>
      <w:r w:rsidRPr="00266205">
        <w:rPr>
          <w:rFonts w:ascii="Arial" w:eastAsia="Arial" w:hAnsi="Arial" w:cs="Arial"/>
          <w:i/>
          <w:sz w:val="22"/>
          <w:szCs w:val="22"/>
          <w:lang w:bidi="es-ES"/>
        </w:rPr>
        <w:tab/>
      </w:r>
      <w:r w:rsidRPr="00266205">
        <w:rPr>
          <w:rFonts w:ascii="Arial" w:eastAsia="Arial" w:hAnsi="Arial" w:cs="Arial"/>
          <w:sz w:val="22"/>
          <w:szCs w:val="22"/>
          <w:lang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266205">
        <w:rPr>
          <w:rFonts w:ascii="Arial" w:eastAsia="Arial" w:hAnsi="Arial" w:cs="Arial"/>
          <w:sz w:val="22"/>
          <w:szCs w:val="22"/>
          <w:vertAlign w:val="superscript"/>
          <w:lang w:bidi="es-ES"/>
        </w:rPr>
        <w:footnoteReference w:id="4"/>
      </w:r>
      <w:r w:rsidRPr="00266205">
        <w:rPr>
          <w:rFonts w:ascii="Arial" w:eastAsia="Arial" w:hAnsi="Arial" w:cs="Arial"/>
          <w:sz w:val="22"/>
          <w:szCs w:val="22"/>
          <w:lang w:bidi="es-ES"/>
        </w:rPr>
        <w:t xml:space="preserve"> </w:t>
      </w:r>
    </w:p>
    <w:p w:rsidR="00266205" w:rsidRPr="00266205" w:rsidRDefault="00266205" w:rsidP="00266205">
      <w:pPr>
        <w:widowControl w:val="0"/>
        <w:autoSpaceDE w:val="0"/>
        <w:autoSpaceDN w:val="0"/>
        <w:jc w:val="both"/>
        <w:rPr>
          <w:rFonts w:ascii="Arial" w:eastAsia="Arial" w:hAnsi="Arial" w:cs="Arial"/>
          <w:i/>
          <w:sz w:val="20"/>
          <w:szCs w:val="20"/>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sz w:val="22"/>
          <w:szCs w:val="22"/>
          <w:lang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266205" w:rsidRPr="00266205" w:rsidRDefault="00266205" w:rsidP="00266205">
      <w:pPr>
        <w:widowControl w:val="0"/>
        <w:autoSpaceDE w:val="0"/>
        <w:autoSpaceDN w:val="0"/>
        <w:ind w:firstLine="709"/>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9"/>
        <w:jc w:val="both"/>
        <w:rPr>
          <w:rFonts w:ascii="Arial" w:eastAsia="Arial" w:hAnsi="Arial" w:cs="Arial"/>
          <w:sz w:val="22"/>
          <w:szCs w:val="22"/>
          <w:lang w:bidi="es-ES"/>
        </w:rPr>
      </w:pPr>
      <w:r w:rsidRPr="00266205">
        <w:rPr>
          <w:rFonts w:ascii="Arial" w:eastAsia="Arial" w:hAnsi="Arial" w:cs="Arial"/>
          <w:sz w:val="22"/>
          <w:szCs w:val="22"/>
          <w:lang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266205" w:rsidRPr="00266205" w:rsidRDefault="00266205" w:rsidP="00266205">
      <w:pPr>
        <w:widowControl w:val="0"/>
        <w:autoSpaceDE w:val="0"/>
        <w:autoSpaceDN w:val="0"/>
        <w:spacing w:after="120"/>
        <w:ind w:left="283" w:firstLine="283"/>
        <w:rPr>
          <w:rFonts w:ascii="Arial" w:eastAsia="Arial" w:hAnsi="Arial" w:cs="Arial"/>
          <w:bCs/>
          <w:i/>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sz w:val="22"/>
          <w:szCs w:val="22"/>
          <w:lang w:bidi="es-ES"/>
        </w:rPr>
      </w:pPr>
      <w:r w:rsidRPr="00266205">
        <w:rPr>
          <w:rFonts w:ascii="Arial" w:eastAsia="Arial" w:hAnsi="Arial" w:cs="Arial"/>
          <w:b/>
          <w:sz w:val="22"/>
          <w:szCs w:val="22"/>
          <w:lang w:bidi="es-ES"/>
        </w:rPr>
        <w:t xml:space="preserve">OCTAVA. </w:t>
      </w:r>
      <w:r w:rsidRPr="00266205">
        <w:rPr>
          <w:rFonts w:ascii="Arial" w:eastAsia="Arial" w:hAnsi="Arial" w:cs="Arial"/>
          <w:sz w:val="22"/>
          <w:szCs w:val="22"/>
          <w:lang w:bidi="es-ES"/>
        </w:rPr>
        <w:t>Finalmente esta comisión permanente,</w:t>
      </w:r>
      <w:r w:rsidRPr="00266205">
        <w:rPr>
          <w:rFonts w:ascii="Arial" w:eastAsia="Arial" w:hAnsi="Arial" w:cs="Arial"/>
          <w:b/>
          <w:sz w:val="22"/>
          <w:szCs w:val="22"/>
          <w:lang w:bidi="es-ES"/>
        </w:rPr>
        <w:t xml:space="preserve"> </w:t>
      </w:r>
      <w:r w:rsidRPr="00266205">
        <w:rPr>
          <w:rFonts w:ascii="Arial" w:eastAsia="Arial" w:hAnsi="Arial" w:cs="Arial"/>
          <w:sz w:val="22"/>
          <w:szCs w:val="22"/>
          <w:lang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66205">
          <w:rPr>
            <w:rFonts w:ascii="Arial" w:eastAsia="Arial" w:hAnsi="Arial" w:cs="Arial"/>
            <w:sz w:val="22"/>
            <w:szCs w:val="22"/>
            <w:lang w:bidi="es-ES"/>
          </w:rPr>
          <w:t>la Ley</w:t>
        </w:r>
      </w:smartTag>
      <w:r w:rsidRPr="00266205">
        <w:rPr>
          <w:rFonts w:ascii="Arial" w:eastAsia="Arial" w:hAnsi="Arial" w:cs="Arial"/>
          <w:sz w:val="22"/>
          <w:szCs w:val="22"/>
          <w:lang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w:t>
      </w:r>
      <w:r w:rsidRPr="00266205">
        <w:rPr>
          <w:rFonts w:ascii="Arial" w:eastAsia="Arial" w:hAnsi="Arial" w:cs="Arial"/>
          <w:sz w:val="22"/>
          <w:szCs w:val="22"/>
          <w:lang w:bidi="es-ES"/>
        </w:rPr>
        <w:lastRenderedPageBreak/>
        <w:t>fiscal, deben necesariamente coincidir con lo señalado en la mencionada Ley de Hacienda Municipal y en su caso, con su respectiva ley de hacienda.</w:t>
      </w:r>
    </w:p>
    <w:p w:rsidR="00266205" w:rsidRPr="00266205" w:rsidRDefault="00266205" w:rsidP="00266205">
      <w:pPr>
        <w:widowControl w:val="0"/>
        <w:autoSpaceDE w:val="0"/>
        <w:autoSpaceDN w:val="0"/>
        <w:ind w:firstLine="708"/>
        <w:jc w:val="both"/>
        <w:rPr>
          <w:rFonts w:ascii="Arial" w:eastAsia="Arial" w:hAnsi="Arial" w:cs="Arial"/>
          <w:sz w:val="22"/>
          <w:szCs w:val="22"/>
          <w:lang w:bidi="es-ES"/>
        </w:rPr>
      </w:pPr>
    </w:p>
    <w:p w:rsidR="00266205" w:rsidRPr="00266205" w:rsidRDefault="00266205" w:rsidP="00266205">
      <w:pPr>
        <w:widowControl w:val="0"/>
        <w:autoSpaceDE w:val="0"/>
        <w:autoSpaceDN w:val="0"/>
        <w:spacing w:line="360" w:lineRule="auto"/>
        <w:ind w:firstLine="708"/>
        <w:jc w:val="both"/>
        <w:rPr>
          <w:rFonts w:ascii="Arial" w:eastAsia="Arial" w:hAnsi="Arial" w:cs="Arial"/>
          <w:iCs/>
          <w:sz w:val="22"/>
          <w:szCs w:val="22"/>
          <w:lang w:bidi="es-ES"/>
        </w:rPr>
      </w:pPr>
      <w:r w:rsidRPr="00266205">
        <w:rPr>
          <w:rFonts w:ascii="Arial" w:eastAsia="Arial" w:hAnsi="Arial" w:cs="Arial"/>
          <w:iCs/>
          <w:sz w:val="22"/>
          <w:szCs w:val="22"/>
          <w:lang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66205">
          <w:rPr>
            <w:rFonts w:ascii="Arial" w:eastAsia="Arial" w:hAnsi="Arial" w:cs="Arial"/>
            <w:iCs/>
            <w:sz w:val="22"/>
            <w:szCs w:val="22"/>
            <w:lang w:bidi="es-ES"/>
          </w:rPr>
          <w:t>la Constitución Política</w:t>
        </w:r>
      </w:smartTag>
      <w:r w:rsidRPr="00266205">
        <w:rPr>
          <w:rFonts w:ascii="Arial" w:eastAsia="Arial" w:hAnsi="Arial" w:cs="Arial"/>
          <w:iCs/>
          <w:sz w:val="22"/>
          <w:szCs w:val="22"/>
          <w:lang w:bidi="es-ES"/>
        </w:rPr>
        <w:t xml:space="preserve"> de los Estados Unidos Mexicanos.</w:t>
      </w:r>
    </w:p>
    <w:p w:rsidR="00266205" w:rsidRPr="00266205" w:rsidRDefault="00266205" w:rsidP="00266205">
      <w:pPr>
        <w:widowControl w:val="0"/>
        <w:autoSpaceDE w:val="0"/>
        <w:autoSpaceDN w:val="0"/>
        <w:ind w:firstLine="708"/>
        <w:jc w:val="both"/>
        <w:rPr>
          <w:rFonts w:ascii="Arial" w:eastAsia="Arial" w:hAnsi="Arial" w:cs="Arial"/>
          <w:iCs/>
          <w:sz w:val="22"/>
          <w:szCs w:val="22"/>
          <w:lang w:bidi="es-ES"/>
        </w:rPr>
      </w:pPr>
    </w:p>
    <w:p w:rsidR="00266205" w:rsidRPr="00266205" w:rsidRDefault="00266205" w:rsidP="00266205">
      <w:pPr>
        <w:spacing w:line="360" w:lineRule="auto"/>
        <w:ind w:firstLine="709"/>
        <w:jc w:val="both"/>
        <w:rPr>
          <w:rFonts w:ascii="Arial" w:hAnsi="Arial" w:cs="Arial"/>
        </w:rPr>
      </w:pPr>
      <w:r w:rsidRPr="00266205">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266205">
        <w:rPr>
          <w:rFonts w:ascii="Arial" w:hAnsi="Arial" w:cs="Arial"/>
          <w:lang w:eastAsia="es-ES_tradnl"/>
        </w:rPr>
        <w:t xml:space="preserve"> </w:t>
      </w:r>
      <w:r w:rsidRPr="00266205">
        <w:rPr>
          <w:rFonts w:ascii="Arial" w:hAnsi="Arial" w:cs="Arial"/>
        </w:rPr>
        <w:t>todos del estado de Yucatán, deben ser aprobadas con las modificaciones aludidas en el presente dictamen</w:t>
      </w:r>
      <w:r w:rsidRPr="00266205">
        <w:rPr>
          <w:rFonts w:ascii="Arial" w:hAnsi="Arial" w:cs="Arial"/>
          <w:iCs/>
        </w:rPr>
        <w:t xml:space="preserve">.    </w:t>
      </w:r>
    </w:p>
    <w:p w:rsidR="00266205" w:rsidRPr="00266205" w:rsidRDefault="00266205" w:rsidP="00266205">
      <w:pPr>
        <w:ind w:firstLine="709"/>
        <w:jc w:val="both"/>
        <w:rPr>
          <w:rFonts w:ascii="Arial" w:hAnsi="Arial" w:cs="Arial"/>
          <w:iCs/>
        </w:rPr>
      </w:pPr>
    </w:p>
    <w:p w:rsidR="00266205" w:rsidRPr="00266205" w:rsidRDefault="00266205" w:rsidP="00266205">
      <w:pPr>
        <w:spacing w:line="360" w:lineRule="auto"/>
        <w:ind w:firstLine="709"/>
        <w:jc w:val="both"/>
        <w:rPr>
          <w:rFonts w:ascii="Arial" w:hAnsi="Arial" w:cs="Arial"/>
          <w:iCs/>
        </w:rPr>
      </w:pPr>
      <w:r w:rsidRPr="00266205">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66205">
            <w:rPr>
              <w:rFonts w:ascii="Arial" w:hAnsi="Arial" w:cs="Arial"/>
            </w:rPr>
            <w:t>la Constitución</w:t>
          </w:r>
        </w:smartTag>
        <w:r w:rsidRPr="00266205">
          <w:rPr>
            <w:rFonts w:ascii="Arial" w:hAnsi="Arial" w:cs="Arial"/>
          </w:rPr>
          <w:t xml:space="preserve"> Política</w:t>
        </w:r>
      </w:smartTag>
      <w:r w:rsidRPr="00266205">
        <w:rPr>
          <w:rFonts w:ascii="Arial" w:hAnsi="Arial" w:cs="Arial"/>
        </w:rPr>
        <w:t xml:space="preserve"> de los Estados Unidos Mexicanos, 30 fracción V y VI, de </w:t>
      </w:r>
      <w:smartTag w:uri="urn:schemas-microsoft-com:office:smarttags" w:element="PersonName">
        <w:smartTagPr>
          <w:attr w:name="ProductID" w:val="曰"/>
        </w:smartTagPr>
        <w:r w:rsidRPr="00266205">
          <w:rPr>
            <w:rFonts w:ascii="Arial" w:hAnsi="Arial" w:cs="Arial"/>
          </w:rPr>
          <w:t>la Constitución Política</w:t>
        </w:r>
      </w:smartTag>
      <w:r w:rsidRPr="00266205">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66205" w:rsidRPr="00266205" w:rsidRDefault="00266205" w:rsidP="00266205">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Pr>
          <w:rFonts w:ascii="Arial" w:eastAsia="Arial" w:hAnsi="Arial" w:cs="Arial"/>
          <w:b/>
          <w:sz w:val="22"/>
          <w:szCs w:val="22"/>
          <w:lang w:bidi="es-ES"/>
        </w:rPr>
        <w:br w:type="column"/>
      </w:r>
    </w:p>
    <w:p w:rsidR="00266205" w:rsidRPr="00266205" w:rsidRDefault="00266205" w:rsidP="00266205">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sidRPr="00266205">
        <w:rPr>
          <w:rFonts w:ascii="Arial" w:eastAsia="Arial" w:hAnsi="Arial" w:cs="Arial"/>
          <w:b/>
          <w:sz w:val="22"/>
          <w:szCs w:val="22"/>
          <w:lang w:bidi="es-ES"/>
        </w:rPr>
        <w:t>D E C R E T O</w:t>
      </w:r>
    </w:p>
    <w:p w:rsidR="00266205" w:rsidRDefault="00266205" w:rsidP="00266205">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sidRPr="00266205">
        <w:rPr>
          <w:rFonts w:ascii="Arial" w:eastAsia="Arial" w:hAnsi="Arial" w:cs="Arial"/>
          <w:b/>
          <w:sz w:val="22"/>
          <w:szCs w:val="22"/>
          <w:lang w:bidi="es-ES"/>
        </w:rPr>
        <w:t>Por el que se aprueban 50 leyes de ingresos municipales correspondientes al ejercicio fiscal 2021</w:t>
      </w:r>
    </w:p>
    <w:p w:rsidR="00266205" w:rsidRPr="00266205" w:rsidRDefault="00266205" w:rsidP="00266205">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rsidR="00266205" w:rsidRPr="00266205" w:rsidRDefault="00266205" w:rsidP="00266205">
      <w:pPr>
        <w:widowControl w:val="0"/>
        <w:autoSpaceDE w:val="0"/>
        <w:autoSpaceDN w:val="0"/>
        <w:spacing w:line="360" w:lineRule="auto"/>
        <w:jc w:val="both"/>
        <w:rPr>
          <w:rFonts w:ascii="Arial" w:eastAsia="Arial" w:hAnsi="Arial" w:cs="Arial"/>
          <w:sz w:val="20"/>
          <w:szCs w:val="20"/>
          <w:lang w:bidi="es-ES"/>
        </w:rPr>
      </w:pPr>
      <w:r w:rsidRPr="00266205">
        <w:rPr>
          <w:rFonts w:ascii="Arial" w:eastAsia="Arial" w:hAnsi="Arial" w:cs="Arial"/>
          <w:b/>
          <w:sz w:val="20"/>
          <w:szCs w:val="20"/>
          <w:lang w:bidi="es-ES"/>
        </w:rPr>
        <w:t xml:space="preserve">Artículo Primero. </w:t>
      </w:r>
      <w:r w:rsidRPr="00266205">
        <w:rPr>
          <w:rFonts w:ascii="Arial" w:eastAsia="Arial" w:hAnsi="Arial" w:cs="Arial"/>
          <w:sz w:val="20"/>
          <w:szCs w:val="20"/>
          <w:lang w:bidi="es-ES"/>
        </w:rPr>
        <w:t xml:space="preserve">Se aprueban las leyes de ingresos de los municipios de: </w:t>
      </w:r>
      <w:r w:rsidRPr="00266205">
        <w:rPr>
          <w:rFonts w:ascii="Arial" w:eastAsia="Arial" w:hAnsi="Arial" w:cs="Arial"/>
          <w:b/>
          <w:sz w:val="20"/>
          <w:szCs w:val="20"/>
          <w:lang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266205">
        <w:rPr>
          <w:rFonts w:ascii="Arial" w:eastAsia="Arial" w:hAnsi="Arial" w:cs="Arial"/>
          <w:sz w:val="20"/>
          <w:szCs w:val="20"/>
          <w:lang w:eastAsia="es-ES_tradnl" w:bidi="es-ES"/>
        </w:rPr>
        <w:t xml:space="preserve">, </w:t>
      </w:r>
      <w:r w:rsidRPr="00266205">
        <w:rPr>
          <w:rFonts w:ascii="Arial" w:eastAsia="Arial" w:hAnsi="Arial" w:cs="Arial"/>
          <w:sz w:val="20"/>
          <w:szCs w:val="20"/>
          <w:lang w:bidi="es-ES"/>
        </w:rPr>
        <w:t>todos del estado de Yucatán, para el Ejercicio Fiscal 2021.</w:t>
      </w:r>
    </w:p>
    <w:p w:rsidR="00266205" w:rsidRPr="00266205" w:rsidRDefault="00266205" w:rsidP="00266205">
      <w:pPr>
        <w:widowControl w:val="0"/>
        <w:autoSpaceDE w:val="0"/>
        <w:autoSpaceDN w:val="0"/>
        <w:spacing w:line="360" w:lineRule="auto"/>
        <w:jc w:val="both"/>
        <w:rPr>
          <w:rFonts w:ascii="Arial" w:eastAsia="Arial" w:hAnsi="Arial" w:cs="Arial"/>
          <w:sz w:val="20"/>
          <w:szCs w:val="20"/>
          <w:lang w:bidi="es-ES"/>
        </w:rPr>
      </w:pPr>
    </w:p>
    <w:p w:rsidR="00266205" w:rsidRPr="00266205" w:rsidRDefault="00266205" w:rsidP="00266205">
      <w:pPr>
        <w:widowControl w:val="0"/>
        <w:tabs>
          <w:tab w:val="left" w:pos="8280"/>
        </w:tabs>
        <w:autoSpaceDE w:val="0"/>
        <w:autoSpaceDN w:val="0"/>
        <w:adjustRightInd w:val="0"/>
        <w:spacing w:line="360" w:lineRule="auto"/>
        <w:ind w:right="-50"/>
        <w:jc w:val="both"/>
        <w:rPr>
          <w:rFonts w:ascii="Arial" w:eastAsia="Arial" w:hAnsi="Arial" w:cs="Arial"/>
          <w:sz w:val="20"/>
          <w:szCs w:val="20"/>
          <w:lang w:bidi="es-ES"/>
        </w:rPr>
      </w:pPr>
      <w:r w:rsidRPr="00266205">
        <w:rPr>
          <w:rFonts w:ascii="Arial" w:eastAsia="Arial" w:hAnsi="Arial" w:cs="Arial"/>
          <w:b/>
          <w:sz w:val="20"/>
          <w:szCs w:val="20"/>
          <w:lang w:bidi="es-ES"/>
        </w:rPr>
        <w:t>Artículo Segundo.</w:t>
      </w:r>
      <w:r w:rsidRPr="00266205">
        <w:rPr>
          <w:rFonts w:ascii="Arial" w:eastAsia="Arial" w:hAnsi="Arial" w:cs="Arial"/>
          <w:sz w:val="20"/>
          <w:szCs w:val="20"/>
          <w:lang w:bidi="es-ES"/>
        </w:rPr>
        <w:t xml:space="preserve"> Las leyes de ingresos a que se refiere el artículo anterior, se describen en cada una de las fracciones siguientes:</w:t>
      </w:r>
    </w:p>
    <w:p w:rsidR="00266205" w:rsidRDefault="00266205" w:rsidP="001D131E">
      <w:pPr>
        <w:spacing w:line="360" w:lineRule="auto"/>
        <w:contextualSpacing/>
        <w:jc w:val="both"/>
        <w:rPr>
          <w:rFonts w:ascii="Arial" w:hAnsi="Arial" w:cs="Arial"/>
          <w:b/>
          <w:sz w:val="20"/>
          <w:szCs w:val="20"/>
          <w:lang w:val="es-MX"/>
        </w:rPr>
      </w:pPr>
    </w:p>
    <w:p w:rsidR="00757CC2" w:rsidRPr="008977E6" w:rsidRDefault="001D131E" w:rsidP="001D131E">
      <w:pPr>
        <w:spacing w:line="360" w:lineRule="auto"/>
        <w:contextualSpacing/>
        <w:jc w:val="both"/>
        <w:rPr>
          <w:rFonts w:ascii="Arial" w:hAnsi="Arial" w:cs="Arial"/>
          <w:b/>
          <w:sz w:val="20"/>
          <w:szCs w:val="20"/>
          <w:lang w:val="es-MX"/>
        </w:rPr>
      </w:pPr>
      <w:r>
        <w:rPr>
          <w:rFonts w:ascii="Arial" w:hAnsi="Arial" w:cs="Arial"/>
          <w:b/>
          <w:sz w:val="20"/>
          <w:szCs w:val="20"/>
          <w:lang w:val="es-MX"/>
        </w:rPr>
        <w:t xml:space="preserve">XXXV.- </w:t>
      </w:r>
      <w:r w:rsidR="00FA7052" w:rsidRPr="008977E6">
        <w:rPr>
          <w:rFonts w:ascii="Arial" w:hAnsi="Arial" w:cs="Arial"/>
          <w:b/>
          <w:sz w:val="20"/>
          <w:szCs w:val="20"/>
          <w:lang w:val="es-MX"/>
        </w:rPr>
        <w:t>LEY</w:t>
      </w:r>
      <w:r w:rsidR="00757CC2" w:rsidRPr="008977E6">
        <w:rPr>
          <w:rFonts w:ascii="Arial" w:hAnsi="Arial" w:cs="Arial"/>
          <w:b/>
          <w:sz w:val="20"/>
          <w:szCs w:val="20"/>
          <w:lang w:val="es-MX"/>
        </w:rPr>
        <w:t xml:space="preserve"> DE INGRESOS DEL </w:t>
      </w:r>
      <w:r w:rsidR="00FA7052" w:rsidRPr="008977E6">
        <w:rPr>
          <w:rFonts w:ascii="Arial" w:hAnsi="Arial" w:cs="Arial"/>
          <w:b/>
          <w:sz w:val="20"/>
          <w:szCs w:val="20"/>
          <w:lang w:val="es-MX"/>
        </w:rPr>
        <w:t>MUNICIPIO</w:t>
      </w:r>
      <w:r w:rsidR="00757CC2" w:rsidRPr="008977E6">
        <w:rPr>
          <w:rFonts w:ascii="Arial" w:hAnsi="Arial" w:cs="Arial"/>
          <w:b/>
          <w:sz w:val="20"/>
          <w:szCs w:val="20"/>
          <w:lang w:val="es-MX"/>
        </w:rPr>
        <w:t xml:space="preserve"> DE </w:t>
      </w:r>
      <w:r w:rsidR="001F489F" w:rsidRPr="008977E6">
        <w:rPr>
          <w:rFonts w:ascii="Arial" w:hAnsi="Arial" w:cs="Arial"/>
          <w:b/>
          <w:sz w:val="20"/>
          <w:szCs w:val="20"/>
          <w:lang w:val="es-MX"/>
        </w:rPr>
        <w:t>TAHDZIU</w:t>
      </w:r>
      <w:r w:rsidR="00183618" w:rsidRPr="008977E6">
        <w:rPr>
          <w:rFonts w:ascii="Arial" w:hAnsi="Arial" w:cs="Arial"/>
          <w:b/>
          <w:sz w:val="20"/>
          <w:szCs w:val="20"/>
          <w:lang w:val="es-MX"/>
        </w:rPr>
        <w:t>,</w:t>
      </w:r>
      <w:r w:rsidR="00757CC2" w:rsidRPr="008977E6">
        <w:rPr>
          <w:rFonts w:ascii="Arial" w:hAnsi="Arial" w:cs="Arial"/>
          <w:b/>
          <w:sz w:val="20"/>
          <w:szCs w:val="20"/>
          <w:lang w:val="es-MX"/>
        </w:rPr>
        <w:t xml:space="preserve"> YUCATÁN, PARA E</w:t>
      </w:r>
      <w:r w:rsidR="00C039C2" w:rsidRPr="008977E6">
        <w:rPr>
          <w:rFonts w:ascii="Arial" w:hAnsi="Arial" w:cs="Arial"/>
          <w:b/>
          <w:sz w:val="20"/>
          <w:szCs w:val="20"/>
          <w:lang w:val="es-MX"/>
        </w:rPr>
        <w:t>L EJERCICIO FISCAL DEL AÑO 2021</w:t>
      </w:r>
      <w:r w:rsidR="00990741" w:rsidRPr="008977E6">
        <w:rPr>
          <w:rFonts w:ascii="Arial" w:hAnsi="Arial" w:cs="Arial"/>
          <w:b/>
          <w:sz w:val="20"/>
          <w:szCs w:val="20"/>
          <w:lang w:val="es-MX"/>
        </w:rPr>
        <w:t>:</w:t>
      </w:r>
    </w:p>
    <w:p w:rsidR="00757CC2" w:rsidRPr="008977E6" w:rsidRDefault="00757CC2" w:rsidP="00237C97">
      <w:pPr>
        <w:spacing w:line="360" w:lineRule="auto"/>
        <w:contextualSpacing/>
        <w:jc w:val="center"/>
        <w:rPr>
          <w:rFonts w:ascii="Arial" w:hAnsi="Arial" w:cs="Arial"/>
          <w:b/>
          <w:sz w:val="20"/>
          <w:szCs w:val="20"/>
          <w:lang w:val="es-MX"/>
        </w:rPr>
      </w:pPr>
    </w:p>
    <w:p w:rsidR="00757CC2" w:rsidRPr="008977E6" w:rsidRDefault="00757CC2"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CAPÍTULO I</w:t>
      </w:r>
    </w:p>
    <w:p w:rsidR="00757CC2" w:rsidRPr="008977E6" w:rsidRDefault="00695825"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 xml:space="preserve">De la Naturaleza y Objeto de la </w:t>
      </w:r>
      <w:r w:rsidR="00FA7052" w:rsidRPr="008977E6">
        <w:rPr>
          <w:rFonts w:ascii="Arial" w:hAnsi="Arial" w:cs="Arial"/>
          <w:b/>
          <w:sz w:val="20"/>
          <w:szCs w:val="20"/>
          <w:lang w:val="es-MX"/>
        </w:rPr>
        <w:t>Ley</w:t>
      </w:r>
    </w:p>
    <w:p w:rsidR="00695825" w:rsidRPr="008977E6" w:rsidRDefault="00695825" w:rsidP="00237C97">
      <w:pPr>
        <w:spacing w:line="360" w:lineRule="auto"/>
        <w:contextualSpacing/>
        <w:jc w:val="center"/>
        <w:rPr>
          <w:rFonts w:ascii="Arial" w:hAnsi="Arial" w:cs="Arial"/>
          <w:b/>
          <w:sz w:val="20"/>
          <w:szCs w:val="20"/>
          <w:lang w:val="es-MX"/>
        </w:rPr>
      </w:pP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Artículo 1.- </w:t>
      </w:r>
      <w:r w:rsidRPr="008977E6">
        <w:rPr>
          <w:rFonts w:ascii="Arial" w:hAnsi="Arial" w:cs="Arial"/>
          <w:sz w:val="20"/>
          <w:szCs w:val="20"/>
          <w:lang w:val="es-MX"/>
        </w:rPr>
        <w:t xml:space="preserve">La presente </w:t>
      </w:r>
      <w:r w:rsidR="00FA7052" w:rsidRPr="008977E6">
        <w:rPr>
          <w:rFonts w:ascii="Arial" w:hAnsi="Arial" w:cs="Arial"/>
          <w:sz w:val="20"/>
          <w:szCs w:val="20"/>
          <w:lang w:val="es-MX"/>
        </w:rPr>
        <w:t>Ley</w:t>
      </w:r>
      <w:r w:rsidRPr="008977E6">
        <w:rPr>
          <w:rFonts w:ascii="Arial" w:hAnsi="Arial" w:cs="Arial"/>
          <w:sz w:val="20"/>
          <w:szCs w:val="20"/>
          <w:lang w:val="es-MX"/>
        </w:rPr>
        <w:t xml:space="preserve"> es de orden público y de interés social, y tiene por objeto establecer los ingresos que percibirá la Hacienda Pública del </w:t>
      </w:r>
      <w:r w:rsidR="00FA7052" w:rsidRPr="008977E6">
        <w:rPr>
          <w:rFonts w:ascii="Arial" w:hAnsi="Arial" w:cs="Arial"/>
          <w:sz w:val="20"/>
          <w:szCs w:val="20"/>
          <w:lang w:val="es-MX"/>
        </w:rPr>
        <w:t>Municipio</w:t>
      </w:r>
      <w:r w:rsidRPr="008977E6">
        <w:rPr>
          <w:rFonts w:ascii="Arial" w:hAnsi="Arial" w:cs="Arial"/>
          <w:sz w:val="20"/>
          <w:szCs w:val="20"/>
          <w:lang w:val="es-MX"/>
        </w:rPr>
        <w:t xml:space="preserve"> de </w:t>
      </w:r>
      <w:r w:rsidR="00DE11BF" w:rsidRPr="008977E6">
        <w:rPr>
          <w:rFonts w:ascii="Arial" w:hAnsi="Arial" w:cs="Arial"/>
          <w:sz w:val="20"/>
          <w:szCs w:val="20"/>
          <w:lang w:val="es-MX"/>
        </w:rPr>
        <w:t>Tahdziú</w:t>
      </w:r>
      <w:r w:rsidRPr="008977E6">
        <w:rPr>
          <w:rFonts w:ascii="Arial" w:hAnsi="Arial" w:cs="Arial"/>
          <w:sz w:val="20"/>
          <w:szCs w:val="20"/>
          <w:lang w:val="es-MX"/>
        </w:rPr>
        <w:t xml:space="preserve">, Yucatán, a través de su Tesorería Municipal, durante el ejercicio fiscal del año </w:t>
      </w:r>
      <w:r w:rsidR="00C039C2" w:rsidRPr="008977E6">
        <w:rPr>
          <w:rFonts w:ascii="Arial" w:hAnsi="Arial" w:cs="Arial"/>
          <w:sz w:val="20"/>
          <w:szCs w:val="20"/>
          <w:lang w:val="es-MX"/>
        </w:rPr>
        <w:t>2021</w:t>
      </w:r>
      <w:r w:rsidRPr="008977E6">
        <w:rPr>
          <w:rFonts w:ascii="Arial" w:hAnsi="Arial" w:cs="Arial"/>
          <w:sz w:val="20"/>
          <w:szCs w:val="20"/>
          <w:lang w:val="es-MX"/>
        </w:rPr>
        <w:t>.</w:t>
      </w:r>
    </w:p>
    <w:p w:rsidR="00757CC2" w:rsidRPr="008977E6" w:rsidRDefault="00757CC2" w:rsidP="00237C97">
      <w:pPr>
        <w:spacing w:line="360" w:lineRule="auto"/>
        <w:contextualSpacing/>
        <w:jc w:val="both"/>
        <w:rPr>
          <w:rFonts w:ascii="Arial" w:hAnsi="Arial" w:cs="Arial"/>
          <w:sz w:val="20"/>
          <w:szCs w:val="20"/>
          <w:lang w:val="es-MX"/>
        </w:rPr>
      </w:pP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Artículo 2.- </w:t>
      </w:r>
      <w:r w:rsidRPr="008977E6">
        <w:rPr>
          <w:rFonts w:ascii="Arial" w:hAnsi="Arial" w:cs="Arial"/>
          <w:sz w:val="20"/>
          <w:szCs w:val="20"/>
          <w:lang w:val="es-MX"/>
        </w:rPr>
        <w:t xml:space="preserve">Las personas </w:t>
      </w:r>
      <w:r w:rsidR="00844BD5" w:rsidRPr="008977E6">
        <w:rPr>
          <w:rFonts w:ascii="Arial" w:hAnsi="Arial" w:cs="Arial"/>
          <w:sz w:val="20"/>
          <w:szCs w:val="20"/>
          <w:lang w:val="es-MX"/>
        </w:rPr>
        <w:t>que</w:t>
      </w:r>
      <w:r w:rsidRPr="008977E6">
        <w:rPr>
          <w:rFonts w:ascii="Arial" w:hAnsi="Arial" w:cs="Arial"/>
          <w:sz w:val="20"/>
          <w:szCs w:val="20"/>
          <w:lang w:val="es-MX"/>
        </w:rPr>
        <w:t xml:space="preserve"> en el </w:t>
      </w:r>
      <w:r w:rsidR="00FA7052" w:rsidRPr="008977E6">
        <w:rPr>
          <w:rFonts w:ascii="Arial" w:hAnsi="Arial" w:cs="Arial"/>
          <w:sz w:val="20"/>
          <w:szCs w:val="20"/>
          <w:lang w:val="es-MX"/>
        </w:rPr>
        <w:t>Municipio</w:t>
      </w:r>
      <w:r w:rsidRPr="008977E6">
        <w:rPr>
          <w:rFonts w:ascii="Arial" w:hAnsi="Arial" w:cs="Arial"/>
          <w:sz w:val="20"/>
          <w:szCs w:val="20"/>
          <w:lang w:val="es-MX"/>
        </w:rPr>
        <w:t>, tu</w:t>
      </w:r>
      <w:r w:rsidR="003B3D59" w:rsidRPr="008977E6">
        <w:rPr>
          <w:rFonts w:ascii="Arial" w:hAnsi="Arial" w:cs="Arial"/>
          <w:sz w:val="20"/>
          <w:szCs w:val="20"/>
          <w:lang w:val="es-MX"/>
        </w:rPr>
        <w:t xml:space="preserve">vieron bienes o celebren actos </w:t>
      </w:r>
      <w:r w:rsidRPr="008977E6">
        <w:rPr>
          <w:rFonts w:ascii="Arial" w:hAnsi="Arial" w:cs="Arial"/>
          <w:sz w:val="20"/>
          <w:szCs w:val="20"/>
          <w:lang w:val="es-MX"/>
        </w:rPr>
        <w:t xml:space="preserve">que surtan efectos en el mismo, están obligados a contribuir para los gastos públicos de la manera que se determinan en la presente </w:t>
      </w:r>
      <w:r w:rsidR="00FA7052" w:rsidRPr="008977E6">
        <w:rPr>
          <w:rFonts w:ascii="Arial" w:hAnsi="Arial" w:cs="Arial"/>
          <w:sz w:val="20"/>
          <w:szCs w:val="20"/>
          <w:lang w:val="es-MX"/>
        </w:rPr>
        <w:t>Ley</w:t>
      </w:r>
      <w:r w:rsidRPr="008977E6">
        <w:rPr>
          <w:rFonts w:ascii="Arial" w:hAnsi="Arial" w:cs="Arial"/>
          <w:sz w:val="20"/>
          <w:szCs w:val="20"/>
          <w:lang w:val="es-MX"/>
        </w:rPr>
        <w:t xml:space="preserve">, en la </w:t>
      </w:r>
      <w:r w:rsidR="00FA7052" w:rsidRPr="008977E6">
        <w:rPr>
          <w:rFonts w:ascii="Arial" w:hAnsi="Arial" w:cs="Arial"/>
          <w:sz w:val="20"/>
          <w:szCs w:val="20"/>
          <w:lang w:val="es-MX"/>
        </w:rPr>
        <w:t>Ley</w:t>
      </w:r>
      <w:r w:rsidRPr="008977E6">
        <w:rPr>
          <w:rFonts w:ascii="Arial" w:hAnsi="Arial" w:cs="Arial"/>
          <w:sz w:val="20"/>
          <w:szCs w:val="20"/>
          <w:lang w:val="es-MX"/>
        </w:rPr>
        <w:t xml:space="preserve"> de Hacienda del </w:t>
      </w:r>
      <w:r w:rsidR="00FA7052" w:rsidRPr="008977E6">
        <w:rPr>
          <w:rFonts w:ascii="Arial" w:hAnsi="Arial" w:cs="Arial"/>
          <w:sz w:val="20"/>
          <w:szCs w:val="20"/>
          <w:lang w:val="es-MX"/>
        </w:rPr>
        <w:t>Municipio</w:t>
      </w:r>
      <w:r w:rsidRPr="008977E6">
        <w:rPr>
          <w:rFonts w:ascii="Arial" w:hAnsi="Arial" w:cs="Arial"/>
          <w:sz w:val="20"/>
          <w:szCs w:val="20"/>
          <w:lang w:val="es-MX"/>
        </w:rPr>
        <w:t xml:space="preserve"> de </w:t>
      </w:r>
      <w:r w:rsidR="00183618" w:rsidRPr="008977E6">
        <w:rPr>
          <w:rFonts w:ascii="Arial" w:hAnsi="Arial" w:cs="Arial"/>
          <w:sz w:val="20"/>
          <w:szCs w:val="20"/>
          <w:lang w:val="es-MX"/>
        </w:rPr>
        <w:t>Tahdziú,</w:t>
      </w:r>
      <w:r w:rsidRPr="008977E6">
        <w:rPr>
          <w:rFonts w:ascii="Arial" w:hAnsi="Arial" w:cs="Arial"/>
          <w:sz w:val="20"/>
          <w:szCs w:val="20"/>
          <w:lang w:val="es-MX"/>
        </w:rPr>
        <w:t xml:space="preserve"> Yucatán; el Código Fiscal de Yucatán y en los demás ordenamientos fiscales.</w:t>
      </w:r>
    </w:p>
    <w:p w:rsidR="00DE11BF" w:rsidRPr="008977E6" w:rsidRDefault="00DE11BF" w:rsidP="00087D4A">
      <w:pPr>
        <w:contextualSpacing/>
        <w:jc w:val="both"/>
        <w:rPr>
          <w:rFonts w:ascii="Arial" w:hAnsi="Arial" w:cs="Arial"/>
          <w:sz w:val="20"/>
          <w:szCs w:val="20"/>
          <w:lang w:val="es-MX"/>
        </w:rPr>
      </w:pPr>
    </w:p>
    <w:p w:rsidR="00DE11BF"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3.-</w:t>
      </w:r>
      <w:r w:rsidRPr="008977E6">
        <w:rPr>
          <w:rFonts w:ascii="Arial" w:hAnsi="Arial" w:cs="Arial"/>
          <w:sz w:val="20"/>
          <w:szCs w:val="20"/>
          <w:lang w:val="es-MX"/>
        </w:rPr>
        <w:t xml:space="preserve"> Los ingresos que se recauden por los conceptos señalados en la presente Ley, se destinarán a sufragar los gastos públicos establecidos y autorizados en el Presupuesto de Egresos del</w:t>
      </w:r>
      <w:r w:rsidR="008977E6" w:rsidRPr="008977E6">
        <w:rPr>
          <w:rFonts w:ascii="Arial" w:hAnsi="Arial" w:cs="Arial"/>
          <w:sz w:val="20"/>
          <w:szCs w:val="20"/>
          <w:lang w:val="es-MX"/>
        </w:rPr>
        <w:t xml:space="preserve"> </w:t>
      </w:r>
      <w:r w:rsidRPr="008977E6">
        <w:rPr>
          <w:rFonts w:ascii="Arial" w:hAnsi="Arial" w:cs="Arial"/>
          <w:sz w:val="20"/>
          <w:szCs w:val="20"/>
          <w:lang w:val="es-MX"/>
        </w:rPr>
        <w:lastRenderedPageBreak/>
        <w:t>Municipio de Tahdziú, Yucatán, así como en lo dispuesto en los convenios de coordinación fiscal y en las Leyes en que se fundamenten.</w:t>
      </w:r>
    </w:p>
    <w:p w:rsidR="00757CC2" w:rsidRPr="008977E6" w:rsidRDefault="00757CC2" w:rsidP="00087D4A">
      <w:pPr>
        <w:ind w:firstLine="708"/>
        <w:contextualSpacing/>
        <w:jc w:val="both"/>
        <w:rPr>
          <w:rFonts w:ascii="Arial" w:hAnsi="Arial" w:cs="Arial"/>
          <w:sz w:val="20"/>
          <w:szCs w:val="20"/>
          <w:lang w:val="es-MX"/>
        </w:rPr>
      </w:pPr>
    </w:p>
    <w:p w:rsidR="00757CC2" w:rsidRPr="008977E6" w:rsidRDefault="00757CC2"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CAPITULO II</w:t>
      </w:r>
    </w:p>
    <w:p w:rsidR="00757CC2" w:rsidRPr="008977E6" w:rsidRDefault="00695825"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De los Conceptos de Ingresos</w:t>
      </w:r>
    </w:p>
    <w:p w:rsidR="008977E6" w:rsidRPr="008977E6" w:rsidRDefault="008977E6" w:rsidP="00087D4A">
      <w:pPr>
        <w:contextualSpacing/>
        <w:jc w:val="center"/>
        <w:rPr>
          <w:rFonts w:ascii="Arial" w:hAnsi="Arial" w:cs="Arial"/>
          <w:b/>
          <w:sz w:val="20"/>
          <w:szCs w:val="20"/>
          <w:lang w:val="es-MX"/>
        </w:rPr>
      </w:pPr>
    </w:p>
    <w:p w:rsidR="00757CC2"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4</w:t>
      </w:r>
      <w:r w:rsidR="00757CC2" w:rsidRPr="008977E6">
        <w:rPr>
          <w:rFonts w:ascii="Arial" w:hAnsi="Arial" w:cs="Arial"/>
          <w:b/>
          <w:sz w:val="20"/>
          <w:szCs w:val="20"/>
          <w:lang w:val="es-MX"/>
        </w:rPr>
        <w:t xml:space="preserve">.- </w:t>
      </w:r>
      <w:r w:rsidR="00757CC2" w:rsidRPr="008977E6">
        <w:rPr>
          <w:rFonts w:ascii="Arial" w:hAnsi="Arial" w:cs="Arial"/>
          <w:sz w:val="20"/>
          <w:szCs w:val="20"/>
          <w:lang w:val="es-MX"/>
        </w:rPr>
        <w:t xml:space="preserve">Los conceptos por los que la Hacienda Pública del </w:t>
      </w:r>
      <w:r w:rsidR="00FA7052" w:rsidRPr="008977E6">
        <w:rPr>
          <w:rFonts w:ascii="Arial" w:hAnsi="Arial" w:cs="Arial"/>
          <w:sz w:val="20"/>
          <w:szCs w:val="20"/>
          <w:lang w:val="es-MX"/>
        </w:rPr>
        <w:t>Municipio</w:t>
      </w:r>
      <w:r w:rsidR="00183618" w:rsidRPr="008977E6">
        <w:rPr>
          <w:rFonts w:ascii="Arial" w:hAnsi="Arial" w:cs="Arial"/>
          <w:sz w:val="20"/>
          <w:szCs w:val="20"/>
          <w:lang w:val="es-MX"/>
        </w:rPr>
        <w:t xml:space="preserve"> de Tahdziú,</w:t>
      </w:r>
      <w:r w:rsidR="00757CC2" w:rsidRPr="008977E6">
        <w:rPr>
          <w:rFonts w:ascii="Arial" w:hAnsi="Arial" w:cs="Arial"/>
          <w:sz w:val="20"/>
          <w:szCs w:val="20"/>
          <w:lang w:val="es-MX"/>
        </w:rPr>
        <w:t xml:space="preserve"> Yucatán, percibirá ingresos, serán los siguientes:</w:t>
      </w:r>
    </w:p>
    <w:p w:rsidR="00695825" w:rsidRPr="008977E6" w:rsidRDefault="00695825" w:rsidP="00237C97">
      <w:pPr>
        <w:spacing w:line="360" w:lineRule="auto"/>
        <w:contextualSpacing/>
        <w:jc w:val="both"/>
        <w:rPr>
          <w:rFonts w:ascii="Arial" w:hAnsi="Arial" w:cs="Arial"/>
          <w:sz w:val="20"/>
          <w:szCs w:val="20"/>
          <w:lang w:val="es-MX"/>
        </w:rPr>
      </w:pP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I.- </w:t>
      </w:r>
      <w:r w:rsidRPr="008977E6">
        <w:rPr>
          <w:rFonts w:ascii="Arial" w:hAnsi="Arial" w:cs="Arial"/>
          <w:sz w:val="20"/>
          <w:szCs w:val="20"/>
          <w:lang w:val="es-MX"/>
        </w:rPr>
        <w:t>Impuestos;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II.- </w:t>
      </w:r>
      <w:r w:rsidRPr="008977E6">
        <w:rPr>
          <w:rFonts w:ascii="Arial" w:hAnsi="Arial" w:cs="Arial"/>
          <w:sz w:val="20"/>
          <w:szCs w:val="20"/>
          <w:lang w:val="es-MX"/>
        </w:rPr>
        <w:t>Derechos;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III.- </w:t>
      </w:r>
      <w:r w:rsidRPr="008977E6">
        <w:rPr>
          <w:rFonts w:ascii="Arial" w:hAnsi="Arial" w:cs="Arial"/>
          <w:sz w:val="20"/>
          <w:szCs w:val="20"/>
          <w:lang w:val="es-MX"/>
        </w:rPr>
        <w:t>Contribuciones de Mejoras;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IV.-</w:t>
      </w:r>
      <w:r w:rsidRPr="008977E6">
        <w:rPr>
          <w:rFonts w:ascii="Arial" w:hAnsi="Arial" w:cs="Arial"/>
          <w:sz w:val="20"/>
          <w:szCs w:val="20"/>
          <w:lang w:val="es-MX"/>
        </w:rPr>
        <w:t xml:space="preserve"> Aprovechamientos;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V.- </w:t>
      </w:r>
      <w:r w:rsidRPr="008977E6">
        <w:rPr>
          <w:rFonts w:ascii="Arial" w:hAnsi="Arial" w:cs="Arial"/>
          <w:sz w:val="20"/>
          <w:szCs w:val="20"/>
          <w:lang w:val="es-MX"/>
        </w:rPr>
        <w:t>Productos;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VI.- </w:t>
      </w:r>
      <w:r w:rsidRPr="008977E6">
        <w:rPr>
          <w:rFonts w:ascii="Arial" w:hAnsi="Arial" w:cs="Arial"/>
          <w:sz w:val="20"/>
          <w:szCs w:val="20"/>
          <w:lang w:val="es-MX"/>
        </w:rPr>
        <w:t>Participaciones Federales y Estatales;</w:t>
      </w:r>
    </w:p>
    <w:p w:rsidR="00757CC2"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VII.- </w:t>
      </w:r>
      <w:r w:rsidRPr="008977E6">
        <w:rPr>
          <w:rFonts w:ascii="Arial" w:hAnsi="Arial" w:cs="Arial"/>
          <w:sz w:val="20"/>
          <w:szCs w:val="20"/>
          <w:lang w:val="es-MX"/>
        </w:rPr>
        <w:t>Aportaciones, y</w:t>
      </w:r>
    </w:p>
    <w:p w:rsidR="00C7418D" w:rsidRPr="008977E6" w:rsidRDefault="00757CC2"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 xml:space="preserve">VIII.- </w:t>
      </w:r>
      <w:r w:rsidRPr="008977E6">
        <w:rPr>
          <w:rFonts w:ascii="Arial" w:hAnsi="Arial" w:cs="Arial"/>
          <w:sz w:val="20"/>
          <w:szCs w:val="20"/>
          <w:lang w:val="es-MX"/>
        </w:rPr>
        <w:t>Ingresos Extraordinarios.</w:t>
      </w:r>
    </w:p>
    <w:p w:rsidR="00757CC2" w:rsidRPr="008977E6" w:rsidRDefault="00757CC2"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CAPÍTULO III</w:t>
      </w:r>
    </w:p>
    <w:p w:rsidR="00757CC2" w:rsidRPr="008977E6" w:rsidRDefault="007F46A9" w:rsidP="00237C97">
      <w:pPr>
        <w:spacing w:line="360" w:lineRule="auto"/>
        <w:contextualSpacing/>
        <w:jc w:val="center"/>
        <w:rPr>
          <w:rFonts w:ascii="Arial" w:hAnsi="Arial" w:cs="Arial"/>
          <w:b/>
          <w:sz w:val="20"/>
          <w:szCs w:val="20"/>
          <w:lang w:val="es-MX"/>
        </w:rPr>
      </w:pPr>
      <w:r w:rsidRPr="008977E6">
        <w:rPr>
          <w:rFonts w:ascii="Arial" w:hAnsi="Arial" w:cs="Arial"/>
          <w:b/>
          <w:sz w:val="20"/>
          <w:szCs w:val="20"/>
          <w:lang w:val="es-MX"/>
        </w:rPr>
        <w:t>Pronóstico</w:t>
      </w:r>
    </w:p>
    <w:p w:rsidR="005666C6" w:rsidRPr="008977E6" w:rsidRDefault="005666C6" w:rsidP="00237C97">
      <w:pPr>
        <w:spacing w:line="360" w:lineRule="auto"/>
        <w:contextualSpacing/>
        <w:jc w:val="center"/>
        <w:rPr>
          <w:rFonts w:ascii="Arial" w:hAnsi="Arial" w:cs="Arial"/>
          <w:b/>
          <w:sz w:val="20"/>
          <w:szCs w:val="20"/>
          <w:lang w:val="es-MX"/>
        </w:rPr>
      </w:pPr>
    </w:p>
    <w:p w:rsidR="00202CE3"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5</w:t>
      </w:r>
      <w:r w:rsidR="00202CE3" w:rsidRPr="008977E6">
        <w:rPr>
          <w:rFonts w:ascii="Arial" w:hAnsi="Arial" w:cs="Arial"/>
          <w:b/>
          <w:sz w:val="20"/>
          <w:szCs w:val="20"/>
          <w:lang w:val="es-MX"/>
        </w:rPr>
        <w:t xml:space="preserve">.- </w:t>
      </w:r>
      <w:r w:rsidR="00202CE3" w:rsidRPr="008977E6">
        <w:rPr>
          <w:rFonts w:ascii="Arial" w:hAnsi="Arial" w:cs="Arial"/>
          <w:sz w:val="20"/>
          <w:szCs w:val="20"/>
          <w:lang w:val="es-MX"/>
        </w:rPr>
        <w:t xml:space="preserve">Los ingresos que la Tesorería Municipal de </w:t>
      </w:r>
      <w:r w:rsidR="00183618" w:rsidRPr="008977E6">
        <w:rPr>
          <w:rFonts w:ascii="Arial" w:hAnsi="Arial" w:cs="Arial"/>
          <w:sz w:val="20"/>
          <w:szCs w:val="20"/>
          <w:lang w:val="es-MX"/>
        </w:rPr>
        <w:t>Tahdziú,</w:t>
      </w:r>
      <w:r w:rsidR="00202CE3" w:rsidRPr="008977E6">
        <w:rPr>
          <w:rFonts w:ascii="Arial" w:hAnsi="Arial" w:cs="Arial"/>
          <w:sz w:val="20"/>
          <w:szCs w:val="20"/>
          <w:lang w:val="es-MX"/>
        </w:rPr>
        <w:t xml:space="preserve"> calcula recaudar durante el Ejercicio Fiscal del año </w:t>
      </w:r>
      <w:r w:rsidR="00C039C2" w:rsidRPr="008977E6">
        <w:rPr>
          <w:rFonts w:ascii="Arial" w:hAnsi="Arial" w:cs="Arial"/>
          <w:sz w:val="20"/>
          <w:szCs w:val="20"/>
          <w:lang w:val="es-MX"/>
        </w:rPr>
        <w:t>2021</w:t>
      </w:r>
      <w:r w:rsidR="00202CE3" w:rsidRPr="008977E6">
        <w:rPr>
          <w:rFonts w:ascii="Arial" w:hAnsi="Arial" w:cs="Arial"/>
          <w:sz w:val="20"/>
          <w:szCs w:val="20"/>
          <w:lang w:val="es-MX"/>
        </w:rPr>
        <w:t>, en concepto de Impuestos, son los siguientes:</w:t>
      </w:r>
    </w:p>
    <w:p w:rsidR="00CA4C32" w:rsidRPr="008977E6" w:rsidRDefault="00CA4C32" w:rsidP="00237C97">
      <w:pPr>
        <w:spacing w:line="360" w:lineRule="auto"/>
        <w:contextualSpacing/>
        <w:jc w:val="both"/>
        <w:rPr>
          <w:rFonts w:ascii="Arial" w:hAnsi="Arial" w:cs="Arial"/>
          <w:b/>
          <w:sz w:val="20"/>
          <w:szCs w:val="20"/>
          <w:lang w:val="es-MX"/>
        </w:rPr>
      </w:pPr>
    </w:p>
    <w:tbl>
      <w:tblPr>
        <w:tblW w:w="9435" w:type="dxa"/>
        <w:tblInd w:w="-214" w:type="dxa"/>
        <w:tblCellMar>
          <w:left w:w="70" w:type="dxa"/>
          <w:right w:w="70" w:type="dxa"/>
        </w:tblCellMar>
        <w:tblLook w:val="04A0" w:firstRow="1" w:lastRow="0" w:firstColumn="1" w:lastColumn="0" w:noHBand="0" w:noVBand="1"/>
      </w:tblPr>
      <w:tblGrid>
        <w:gridCol w:w="7155"/>
        <w:gridCol w:w="2280"/>
      </w:tblGrid>
      <w:tr w:rsidR="00202CE3" w:rsidRPr="008977E6" w:rsidTr="008977E6">
        <w:trPr>
          <w:trHeight w:val="300"/>
        </w:trPr>
        <w:tc>
          <w:tcPr>
            <w:tcW w:w="7155" w:type="dxa"/>
            <w:tcBorders>
              <w:top w:val="single" w:sz="4" w:space="0" w:color="auto"/>
              <w:left w:val="single" w:sz="4" w:space="0" w:color="auto"/>
              <w:bottom w:val="single" w:sz="4" w:space="0" w:color="auto"/>
              <w:right w:val="nil"/>
            </w:tcBorders>
            <w:shd w:val="clear" w:color="000000" w:fill="D8D8D8"/>
            <w:vAlign w:val="center"/>
            <w:hideMark/>
          </w:tcPr>
          <w:p w:rsidR="00202CE3" w:rsidRPr="008977E6" w:rsidRDefault="00202CE3"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Impuestos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02CE3" w:rsidRPr="008977E6" w:rsidRDefault="001A35C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3</w:t>
            </w:r>
            <w:r w:rsidR="00C039C2" w:rsidRPr="008977E6">
              <w:rPr>
                <w:rFonts w:ascii="Arial" w:hAnsi="Arial" w:cs="Arial"/>
                <w:b/>
                <w:bCs/>
                <w:color w:val="000000"/>
                <w:sz w:val="20"/>
                <w:szCs w:val="20"/>
                <w:lang w:val="es-MX" w:eastAsia="es-MX"/>
              </w:rPr>
              <w:t>5,600.00</w:t>
            </w:r>
          </w:p>
        </w:tc>
      </w:tr>
      <w:tr w:rsidR="002145A9" w:rsidRPr="008977E6" w:rsidTr="008977E6">
        <w:trPr>
          <w:trHeight w:val="300"/>
        </w:trPr>
        <w:tc>
          <w:tcPr>
            <w:tcW w:w="7155" w:type="dxa"/>
            <w:tcBorders>
              <w:top w:val="nil"/>
              <w:left w:val="single" w:sz="4" w:space="0" w:color="auto"/>
              <w:bottom w:val="single" w:sz="4" w:space="0" w:color="auto"/>
              <w:right w:val="nil"/>
            </w:tcBorders>
            <w:shd w:val="clear" w:color="000000" w:fill="D7E4BC"/>
            <w:vAlign w:val="center"/>
            <w:hideMark/>
          </w:tcPr>
          <w:p w:rsidR="002145A9" w:rsidRPr="008977E6" w:rsidRDefault="002145A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Impuestos sobre los ingresos</w:t>
            </w:r>
          </w:p>
        </w:tc>
        <w:tc>
          <w:tcPr>
            <w:tcW w:w="2280" w:type="dxa"/>
            <w:tcBorders>
              <w:top w:val="nil"/>
              <w:left w:val="single" w:sz="4" w:space="0" w:color="auto"/>
              <w:bottom w:val="single" w:sz="4" w:space="0" w:color="auto"/>
              <w:right w:val="single" w:sz="4" w:space="0" w:color="auto"/>
            </w:tcBorders>
            <w:shd w:val="clear" w:color="000000" w:fill="D7E4BC"/>
            <w:hideMark/>
          </w:tcPr>
          <w:p w:rsidR="002145A9" w:rsidRPr="008977E6" w:rsidRDefault="001A35C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14,000.00</w:t>
            </w:r>
          </w:p>
        </w:tc>
      </w:tr>
      <w:tr w:rsidR="00290F39" w:rsidRPr="008977E6" w:rsidTr="008977E6">
        <w:trPr>
          <w:trHeight w:val="300"/>
        </w:trPr>
        <w:tc>
          <w:tcPr>
            <w:tcW w:w="7155" w:type="dxa"/>
            <w:tcBorders>
              <w:top w:val="nil"/>
              <w:left w:val="single" w:sz="4" w:space="0" w:color="auto"/>
              <w:bottom w:val="single" w:sz="4" w:space="0" w:color="auto"/>
              <w:right w:val="nil"/>
            </w:tcBorders>
            <w:shd w:val="clear" w:color="000000" w:fill="D7E4BC"/>
            <w:vAlign w:val="center"/>
          </w:tcPr>
          <w:p w:rsidR="00290F39" w:rsidRPr="008977E6" w:rsidRDefault="00290F3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Impuestos sobre el patrimonio</w:t>
            </w:r>
          </w:p>
        </w:tc>
        <w:tc>
          <w:tcPr>
            <w:tcW w:w="2280" w:type="dxa"/>
            <w:tcBorders>
              <w:top w:val="nil"/>
              <w:left w:val="single" w:sz="4" w:space="0" w:color="auto"/>
              <w:bottom w:val="single" w:sz="4" w:space="0" w:color="auto"/>
              <w:right w:val="single" w:sz="4" w:space="0" w:color="auto"/>
            </w:tcBorders>
            <w:shd w:val="clear" w:color="000000" w:fill="D7E4BC"/>
          </w:tcPr>
          <w:p w:rsidR="00290F39" w:rsidRPr="008977E6" w:rsidRDefault="00C039C2"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21,600.00</w:t>
            </w:r>
          </w:p>
        </w:tc>
      </w:tr>
      <w:tr w:rsidR="00290F39" w:rsidRPr="008977E6" w:rsidTr="008977E6">
        <w:trPr>
          <w:trHeight w:val="300"/>
        </w:trPr>
        <w:tc>
          <w:tcPr>
            <w:tcW w:w="7155" w:type="dxa"/>
            <w:tcBorders>
              <w:top w:val="nil"/>
              <w:left w:val="single" w:sz="4" w:space="0" w:color="auto"/>
              <w:bottom w:val="single" w:sz="4" w:space="0" w:color="auto"/>
              <w:right w:val="nil"/>
            </w:tcBorders>
            <w:shd w:val="clear" w:color="000000" w:fill="D7E4BC"/>
            <w:vAlign w:val="center"/>
            <w:hideMark/>
          </w:tcPr>
          <w:p w:rsidR="00290F39" w:rsidRPr="008977E6" w:rsidRDefault="00290F3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290F39" w:rsidRPr="008977E6" w:rsidRDefault="00290F39"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290F39" w:rsidRPr="008977E6" w:rsidTr="008977E6">
        <w:trPr>
          <w:trHeight w:val="300"/>
        </w:trPr>
        <w:tc>
          <w:tcPr>
            <w:tcW w:w="7155" w:type="dxa"/>
            <w:tcBorders>
              <w:top w:val="nil"/>
              <w:left w:val="single" w:sz="4" w:space="0" w:color="auto"/>
              <w:bottom w:val="single" w:sz="4" w:space="0" w:color="auto"/>
              <w:right w:val="nil"/>
            </w:tcBorders>
            <w:shd w:val="clear" w:color="000000" w:fill="D7E4BC"/>
            <w:vAlign w:val="center"/>
            <w:hideMark/>
          </w:tcPr>
          <w:p w:rsidR="00290F39" w:rsidRPr="008977E6" w:rsidRDefault="00290F3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Accesorios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290F39" w:rsidRPr="008977E6" w:rsidRDefault="00290F39"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290F39" w:rsidRPr="008977E6" w:rsidTr="008977E6">
        <w:trPr>
          <w:trHeight w:val="300"/>
        </w:trPr>
        <w:tc>
          <w:tcPr>
            <w:tcW w:w="7155" w:type="dxa"/>
            <w:tcBorders>
              <w:top w:val="nil"/>
              <w:left w:val="single" w:sz="4" w:space="0" w:color="auto"/>
              <w:bottom w:val="single" w:sz="4" w:space="0" w:color="auto"/>
              <w:right w:val="nil"/>
            </w:tcBorders>
            <w:shd w:val="clear" w:color="000000" w:fill="D7E4BC"/>
            <w:vAlign w:val="center"/>
            <w:hideMark/>
          </w:tcPr>
          <w:p w:rsidR="00290F39" w:rsidRPr="008977E6" w:rsidRDefault="00290F3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Otros Impuestos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290F39" w:rsidRPr="008977E6" w:rsidRDefault="00290F39"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290F39" w:rsidRPr="008977E6" w:rsidTr="008977E6">
        <w:trPr>
          <w:trHeight w:val="510"/>
        </w:trPr>
        <w:tc>
          <w:tcPr>
            <w:tcW w:w="7155" w:type="dxa"/>
            <w:tcBorders>
              <w:top w:val="nil"/>
              <w:left w:val="single" w:sz="4" w:space="0" w:color="auto"/>
              <w:bottom w:val="single" w:sz="4" w:space="0" w:color="auto"/>
              <w:right w:val="nil"/>
            </w:tcBorders>
            <w:shd w:val="clear" w:color="000000" w:fill="D7E4BC"/>
            <w:vAlign w:val="center"/>
            <w:hideMark/>
          </w:tcPr>
          <w:p w:rsidR="00290F39" w:rsidRPr="008977E6" w:rsidRDefault="00290F39"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290F39" w:rsidRPr="008977E6" w:rsidRDefault="00290F39"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202CE3" w:rsidRPr="008977E6" w:rsidRDefault="00202CE3" w:rsidP="00237C97">
      <w:pPr>
        <w:spacing w:line="360" w:lineRule="auto"/>
        <w:contextualSpacing/>
        <w:jc w:val="both"/>
        <w:rPr>
          <w:rFonts w:ascii="Arial" w:hAnsi="Arial" w:cs="Arial"/>
          <w:b/>
          <w:sz w:val="20"/>
          <w:szCs w:val="20"/>
          <w:lang w:val="es-MX"/>
        </w:rPr>
      </w:pPr>
    </w:p>
    <w:p w:rsidR="00202CE3"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6</w:t>
      </w:r>
      <w:r w:rsidR="00202CE3" w:rsidRPr="008977E6">
        <w:rPr>
          <w:rFonts w:ascii="Arial" w:hAnsi="Arial" w:cs="Arial"/>
          <w:b/>
          <w:sz w:val="20"/>
          <w:szCs w:val="20"/>
          <w:lang w:val="es-MX"/>
        </w:rPr>
        <w:t xml:space="preserve">.- </w:t>
      </w:r>
      <w:r w:rsidR="00202CE3" w:rsidRPr="008977E6">
        <w:rPr>
          <w:rFonts w:ascii="Arial" w:hAnsi="Arial" w:cs="Arial"/>
          <w:sz w:val="20"/>
          <w:szCs w:val="20"/>
          <w:lang w:val="es-MX"/>
        </w:rPr>
        <w:t xml:space="preserve">Los ingresos que la Tesorería Municipal de </w:t>
      </w:r>
      <w:r w:rsidR="00183618" w:rsidRPr="008977E6">
        <w:rPr>
          <w:rFonts w:ascii="Arial" w:hAnsi="Arial" w:cs="Arial"/>
          <w:sz w:val="20"/>
          <w:szCs w:val="20"/>
          <w:lang w:val="es-MX"/>
        </w:rPr>
        <w:t>Tahdziú,</w:t>
      </w:r>
      <w:r w:rsidR="00202CE3" w:rsidRPr="008977E6">
        <w:rPr>
          <w:rFonts w:ascii="Arial" w:hAnsi="Arial" w:cs="Arial"/>
          <w:sz w:val="20"/>
          <w:szCs w:val="20"/>
          <w:lang w:val="es-MX"/>
        </w:rPr>
        <w:t xml:space="preserve"> calcula recaudar durante el Ejercicio Fiscal del año </w:t>
      </w:r>
      <w:r w:rsidR="00C039C2" w:rsidRPr="008977E6">
        <w:rPr>
          <w:rFonts w:ascii="Arial" w:hAnsi="Arial" w:cs="Arial"/>
          <w:sz w:val="20"/>
          <w:szCs w:val="20"/>
          <w:lang w:val="es-MX"/>
        </w:rPr>
        <w:t>2021</w:t>
      </w:r>
      <w:r w:rsidR="00202CE3" w:rsidRPr="008977E6">
        <w:rPr>
          <w:rFonts w:ascii="Arial" w:hAnsi="Arial" w:cs="Arial"/>
          <w:sz w:val="20"/>
          <w:szCs w:val="20"/>
          <w:lang w:val="es-MX"/>
        </w:rPr>
        <w:t>, en concepto de Derechos, son los siguientes:</w:t>
      </w:r>
    </w:p>
    <w:tbl>
      <w:tblPr>
        <w:tblW w:w="9293" w:type="dxa"/>
        <w:tblInd w:w="-72" w:type="dxa"/>
        <w:tblCellMar>
          <w:left w:w="70" w:type="dxa"/>
          <w:right w:w="70" w:type="dxa"/>
        </w:tblCellMar>
        <w:tblLook w:val="04A0" w:firstRow="1" w:lastRow="0" w:firstColumn="1" w:lastColumn="0" w:noHBand="0" w:noVBand="1"/>
      </w:tblPr>
      <w:tblGrid>
        <w:gridCol w:w="7013"/>
        <w:gridCol w:w="2280"/>
      </w:tblGrid>
      <w:tr w:rsidR="0007653A" w:rsidRPr="008977E6" w:rsidTr="008977E6">
        <w:trPr>
          <w:trHeight w:val="300"/>
        </w:trPr>
        <w:tc>
          <w:tcPr>
            <w:tcW w:w="7013"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07653A" w:rsidRPr="008977E6" w:rsidRDefault="0007653A" w:rsidP="00237C97">
            <w:pPr>
              <w:spacing w:line="360" w:lineRule="auto"/>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lastRenderedPageBreak/>
              <w:t>Derechos</w:t>
            </w:r>
          </w:p>
        </w:tc>
        <w:tc>
          <w:tcPr>
            <w:tcW w:w="2280" w:type="dxa"/>
            <w:tcBorders>
              <w:top w:val="single" w:sz="4" w:space="0" w:color="auto"/>
              <w:left w:val="nil"/>
              <w:bottom w:val="single" w:sz="4" w:space="0" w:color="auto"/>
              <w:right w:val="single" w:sz="4" w:space="0" w:color="auto"/>
            </w:tcBorders>
            <w:shd w:val="clear" w:color="000000" w:fill="D8D8D8"/>
            <w:vAlign w:val="center"/>
            <w:hideMark/>
          </w:tcPr>
          <w:p w:rsidR="0007653A" w:rsidRPr="008977E6" w:rsidRDefault="00C039C2"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93</w:t>
            </w:r>
            <w:r w:rsidR="003D2E5B" w:rsidRPr="008977E6">
              <w:rPr>
                <w:rFonts w:ascii="Arial" w:hAnsi="Arial" w:cs="Arial"/>
                <w:b/>
                <w:bCs/>
                <w:color w:val="000000"/>
                <w:sz w:val="20"/>
                <w:szCs w:val="20"/>
                <w:lang w:val="es-MX" w:eastAsia="es-MX"/>
              </w:rPr>
              <w:t>,000.00</w:t>
            </w:r>
          </w:p>
        </w:tc>
      </w:tr>
      <w:tr w:rsidR="0007653A" w:rsidRPr="008977E6" w:rsidTr="00897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013"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Derechos por el uso, goce, aprovechamiento o explotación de bienes de dominio público</w:t>
            </w:r>
          </w:p>
        </w:tc>
        <w:tc>
          <w:tcPr>
            <w:tcW w:w="2280" w:type="dxa"/>
            <w:shd w:val="clear" w:color="000000" w:fill="D7E4BC"/>
            <w:vAlign w:val="center"/>
            <w:hideMark/>
          </w:tcPr>
          <w:p w:rsidR="0007653A" w:rsidRPr="008977E6" w:rsidRDefault="00043CAD"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5,500.00</w:t>
            </w:r>
          </w:p>
        </w:tc>
      </w:tr>
      <w:tr w:rsidR="0007653A" w:rsidRPr="008977E6" w:rsidTr="00897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13"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Derechos por prestación de servicios</w:t>
            </w:r>
          </w:p>
        </w:tc>
        <w:tc>
          <w:tcPr>
            <w:tcW w:w="2280" w:type="dxa"/>
            <w:shd w:val="clear" w:color="000000" w:fill="D7E4BC"/>
            <w:vAlign w:val="center"/>
            <w:hideMark/>
          </w:tcPr>
          <w:p w:rsidR="0007653A" w:rsidRPr="008977E6" w:rsidRDefault="00043CAD"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21,500.00</w:t>
            </w:r>
          </w:p>
        </w:tc>
      </w:tr>
      <w:tr w:rsidR="0007653A" w:rsidRPr="008977E6" w:rsidTr="00897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13"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Otros Derechos</w:t>
            </w:r>
          </w:p>
        </w:tc>
        <w:tc>
          <w:tcPr>
            <w:tcW w:w="2280" w:type="dxa"/>
            <w:shd w:val="clear" w:color="000000" w:fill="D7E4BC"/>
            <w:vAlign w:val="center"/>
            <w:hideMark/>
          </w:tcPr>
          <w:p w:rsidR="0007653A" w:rsidRPr="008977E6" w:rsidRDefault="00043CAD"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66,000.00</w:t>
            </w:r>
          </w:p>
          <w:p w:rsidR="00D32C07" w:rsidRPr="008977E6" w:rsidRDefault="00D32C07" w:rsidP="00237C97">
            <w:pPr>
              <w:spacing w:line="360" w:lineRule="auto"/>
              <w:jc w:val="right"/>
              <w:rPr>
                <w:rFonts w:ascii="Arial" w:hAnsi="Arial" w:cs="Arial"/>
                <w:b/>
                <w:bCs/>
                <w:color w:val="000000"/>
                <w:sz w:val="20"/>
                <w:szCs w:val="20"/>
                <w:lang w:val="es-MX" w:eastAsia="es-MX"/>
              </w:rPr>
            </w:pPr>
          </w:p>
        </w:tc>
      </w:tr>
      <w:tr w:rsidR="00E442D7" w:rsidRPr="008977E6" w:rsidTr="00897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13" w:type="dxa"/>
            <w:shd w:val="clear" w:color="000000" w:fill="D7E4BC"/>
            <w:vAlign w:val="center"/>
            <w:hideMark/>
          </w:tcPr>
          <w:p w:rsidR="00E442D7" w:rsidRPr="008977E6" w:rsidRDefault="00E442D7"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Accesorios</w:t>
            </w:r>
          </w:p>
        </w:tc>
        <w:tc>
          <w:tcPr>
            <w:tcW w:w="2280" w:type="dxa"/>
            <w:shd w:val="clear" w:color="000000" w:fill="D7E4BC"/>
            <w:vAlign w:val="center"/>
            <w:hideMark/>
          </w:tcPr>
          <w:p w:rsidR="00E442D7" w:rsidRPr="008977E6" w:rsidRDefault="00E442D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E442D7" w:rsidRPr="008977E6" w:rsidTr="00897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013" w:type="dxa"/>
            <w:shd w:val="clear" w:color="000000" w:fill="D7E4BC"/>
            <w:vAlign w:val="center"/>
            <w:hideMark/>
          </w:tcPr>
          <w:p w:rsidR="00E442D7" w:rsidRPr="008977E6" w:rsidRDefault="00E442D7"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2280" w:type="dxa"/>
            <w:shd w:val="clear" w:color="000000" w:fill="D7E4BC"/>
            <w:vAlign w:val="center"/>
            <w:hideMark/>
          </w:tcPr>
          <w:p w:rsidR="00E442D7" w:rsidRPr="008977E6" w:rsidRDefault="00E442D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AE3E5C" w:rsidRDefault="00AE3E5C" w:rsidP="00237C97">
      <w:pPr>
        <w:spacing w:line="360" w:lineRule="auto"/>
        <w:contextualSpacing/>
        <w:jc w:val="both"/>
        <w:rPr>
          <w:rFonts w:ascii="Arial" w:hAnsi="Arial" w:cs="Arial"/>
          <w:b/>
          <w:sz w:val="20"/>
          <w:szCs w:val="20"/>
          <w:lang w:val="es-MX"/>
        </w:rPr>
      </w:pPr>
    </w:p>
    <w:p w:rsidR="00202CE3"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7</w:t>
      </w:r>
      <w:r w:rsidR="00202CE3" w:rsidRPr="008977E6">
        <w:rPr>
          <w:rFonts w:ascii="Arial" w:hAnsi="Arial" w:cs="Arial"/>
          <w:b/>
          <w:sz w:val="20"/>
          <w:szCs w:val="20"/>
          <w:lang w:val="es-MX"/>
        </w:rPr>
        <w:t xml:space="preserve">.- </w:t>
      </w:r>
      <w:r w:rsidR="00202CE3" w:rsidRPr="008977E6">
        <w:rPr>
          <w:rFonts w:ascii="Arial" w:hAnsi="Arial" w:cs="Arial"/>
          <w:sz w:val="20"/>
          <w:szCs w:val="20"/>
          <w:lang w:val="es-MX"/>
        </w:rPr>
        <w:t xml:space="preserve">Los ingresos que la Tesorería Municipal de </w:t>
      </w:r>
      <w:r w:rsidR="00183618" w:rsidRPr="008977E6">
        <w:rPr>
          <w:rFonts w:ascii="Arial" w:hAnsi="Arial" w:cs="Arial"/>
          <w:sz w:val="20"/>
          <w:szCs w:val="20"/>
          <w:lang w:val="es-MX"/>
        </w:rPr>
        <w:t>Tahdziú,</w:t>
      </w:r>
      <w:r w:rsidR="00202CE3" w:rsidRPr="008977E6">
        <w:rPr>
          <w:rFonts w:ascii="Arial" w:hAnsi="Arial" w:cs="Arial"/>
          <w:sz w:val="20"/>
          <w:szCs w:val="20"/>
          <w:lang w:val="es-MX"/>
        </w:rPr>
        <w:t xml:space="preserve"> calcula recaudar durante el Ejercicio Fiscal del año </w:t>
      </w:r>
      <w:r w:rsidR="00986968" w:rsidRPr="008977E6">
        <w:rPr>
          <w:rFonts w:ascii="Arial" w:hAnsi="Arial" w:cs="Arial"/>
          <w:sz w:val="20"/>
          <w:szCs w:val="20"/>
          <w:lang w:val="es-MX"/>
        </w:rPr>
        <w:t>2021</w:t>
      </w:r>
      <w:r w:rsidR="00202CE3" w:rsidRPr="008977E6">
        <w:rPr>
          <w:rFonts w:ascii="Arial" w:hAnsi="Arial" w:cs="Arial"/>
          <w:sz w:val="20"/>
          <w:szCs w:val="20"/>
          <w:lang w:val="es-MX"/>
        </w:rPr>
        <w:t>, en concepto de Contribuciones de Mejoras, son los siguientes:</w:t>
      </w:r>
    </w:p>
    <w:p w:rsidR="008977E6" w:rsidRPr="008977E6" w:rsidRDefault="008977E6" w:rsidP="00237C97">
      <w:pPr>
        <w:spacing w:line="360" w:lineRule="auto"/>
        <w:contextualSpacing/>
        <w:jc w:val="both"/>
        <w:rPr>
          <w:rFonts w:ascii="Arial" w:hAnsi="Arial" w:cs="Arial"/>
          <w:sz w:val="20"/>
          <w:szCs w:val="20"/>
          <w:lang w:val="es-MX"/>
        </w:rPr>
      </w:pPr>
    </w:p>
    <w:tbl>
      <w:tblPr>
        <w:tblW w:w="9151" w:type="dxa"/>
        <w:tblInd w:w="-72" w:type="dxa"/>
        <w:tblCellMar>
          <w:left w:w="70" w:type="dxa"/>
          <w:right w:w="70" w:type="dxa"/>
        </w:tblCellMar>
        <w:tblLook w:val="04A0" w:firstRow="1" w:lastRow="0" w:firstColumn="1" w:lastColumn="0" w:noHBand="0" w:noVBand="1"/>
      </w:tblPr>
      <w:tblGrid>
        <w:gridCol w:w="6871"/>
        <w:gridCol w:w="2280"/>
      </w:tblGrid>
      <w:tr w:rsidR="0007653A" w:rsidRPr="008977E6" w:rsidTr="008977E6">
        <w:trPr>
          <w:trHeight w:val="300"/>
        </w:trPr>
        <w:tc>
          <w:tcPr>
            <w:tcW w:w="6871" w:type="dxa"/>
            <w:tcBorders>
              <w:top w:val="single" w:sz="4" w:space="0" w:color="auto"/>
              <w:left w:val="single" w:sz="4" w:space="0" w:color="auto"/>
              <w:bottom w:val="single" w:sz="4" w:space="0" w:color="auto"/>
              <w:right w:val="nil"/>
            </w:tcBorders>
            <w:shd w:val="clear" w:color="000000" w:fill="D8D8D8"/>
            <w:vAlign w:val="center"/>
            <w:hideMark/>
          </w:tcPr>
          <w:p w:rsidR="0007653A" w:rsidRPr="008977E6" w:rsidRDefault="0007653A"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Contribuciones de mejoras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8977E6">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Contribución de mejoras por obras públicas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8977E6">
        <w:trPr>
          <w:trHeight w:val="765"/>
        </w:trPr>
        <w:tc>
          <w:tcPr>
            <w:tcW w:w="6871" w:type="dxa"/>
            <w:tcBorders>
              <w:top w:val="nil"/>
              <w:left w:val="single" w:sz="4" w:space="0" w:color="auto"/>
              <w:bottom w:val="single" w:sz="4" w:space="0" w:color="auto"/>
              <w:right w:val="nil"/>
            </w:tcBorders>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07653A" w:rsidRPr="008977E6" w:rsidRDefault="0007653A" w:rsidP="00237C97">
      <w:pPr>
        <w:spacing w:line="360" w:lineRule="auto"/>
        <w:contextualSpacing/>
        <w:jc w:val="center"/>
        <w:rPr>
          <w:rFonts w:ascii="Arial" w:hAnsi="Arial" w:cs="Arial"/>
          <w:sz w:val="20"/>
          <w:szCs w:val="20"/>
          <w:lang w:val="es-MX"/>
        </w:rPr>
      </w:pPr>
    </w:p>
    <w:p w:rsidR="0007653A" w:rsidRPr="008977E6" w:rsidRDefault="00DE11B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8</w:t>
      </w:r>
      <w:r w:rsidR="0007653A" w:rsidRPr="008977E6">
        <w:rPr>
          <w:rFonts w:ascii="Arial" w:hAnsi="Arial" w:cs="Arial"/>
          <w:b/>
          <w:sz w:val="20"/>
          <w:szCs w:val="20"/>
          <w:lang w:val="es-MX"/>
        </w:rPr>
        <w:t xml:space="preserve">.- </w:t>
      </w:r>
      <w:r w:rsidR="0007653A" w:rsidRPr="008977E6">
        <w:rPr>
          <w:rFonts w:ascii="Arial" w:hAnsi="Arial" w:cs="Arial"/>
          <w:sz w:val="20"/>
          <w:szCs w:val="20"/>
          <w:lang w:val="es-MX"/>
        </w:rPr>
        <w:t xml:space="preserve">Los ingresos que la </w:t>
      </w:r>
      <w:r w:rsidRPr="008977E6">
        <w:rPr>
          <w:rFonts w:ascii="Arial" w:hAnsi="Arial" w:cs="Arial"/>
          <w:sz w:val="20"/>
          <w:szCs w:val="20"/>
          <w:lang w:val="es-MX"/>
        </w:rPr>
        <w:t xml:space="preserve">Tesorería Municipal de Tahdziú, </w:t>
      </w:r>
      <w:r w:rsidR="0007653A" w:rsidRPr="008977E6">
        <w:rPr>
          <w:rFonts w:ascii="Arial" w:hAnsi="Arial" w:cs="Arial"/>
          <w:sz w:val="20"/>
          <w:szCs w:val="20"/>
          <w:lang w:val="es-MX"/>
        </w:rPr>
        <w:t xml:space="preserve">calcula recaudar durante el Ejercicio Fiscal del año </w:t>
      </w:r>
      <w:r w:rsidR="00986968" w:rsidRPr="008977E6">
        <w:rPr>
          <w:rFonts w:ascii="Arial" w:hAnsi="Arial" w:cs="Arial"/>
          <w:sz w:val="20"/>
          <w:szCs w:val="20"/>
          <w:lang w:val="es-MX"/>
        </w:rPr>
        <w:t>2021</w:t>
      </w:r>
      <w:r w:rsidR="0007653A" w:rsidRPr="008977E6">
        <w:rPr>
          <w:rFonts w:ascii="Arial" w:hAnsi="Arial" w:cs="Arial"/>
          <w:sz w:val="20"/>
          <w:szCs w:val="20"/>
          <w:lang w:val="es-MX"/>
        </w:rPr>
        <w:t>, en concepto de Productos, son los siguientes:</w:t>
      </w:r>
    </w:p>
    <w:tbl>
      <w:tblPr>
        <w:tblW w:w="9151" w:type="dxa"/>
        <w:tblInd w:w="-72" w:type="dxa"/>
        <w:tblCellMar>
          <w:left w:w="70" w:type="dxa"/>
          <w:right w:w="70" w:type="dxa"/>
        </w:tblCellMar>
        <w:tblLook w:val="04A0" w:firstRow="1" w:lastRow="0" w:firstColumn="1" w:lastColumn="0" w:noHBand="0" w:noVBand="1"/>
      </w:tblPr>
      <w:tblGrid>
        <w:gridCol w:w="6871"/>
        <w:gridCol w:w="2280"/>
      </w:tblGrid>
      <w:tr w:rsidR="0007653A" w:rsidRPr="008977E6" w:rsidTr="00237C97">
        <w:trPr>
          <w:trHeight w:val="300"/>
        </w:trPr>
        <w:tc>
          <w:tcPr>
            <w:tcW w:w="6871" w:type="dxa"/>
            <w:tcBorders>
              <w:top w:val="single" w:sz="4" w:space="0" w:color="auto"/>
              <w:left w:val="single" w:sz="4" w:space="0" w:color="auto"/>
              <w:bottom w:val="single" w:sz="4" w:space="0" w:color="auto"/>
              <w:right w:val="nil"/>
            </w:tcBorders>
            <w:shd w:val="clear" w:color="000000" w:fill="D8D8D8"/>
            <w:vAlign w:val="center"/>
            <w:hideMark/>
          </w:tcPr>
          <w:p w:rsidR="0007653A" w:rsidRPr="008977E6" w:rsidRDefault="0007653A"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Productos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Productos de tipo corriente</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Productos de capital</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237C97">
        <w:trPr>
          <w:trHeight w:val="510"/>
        </w:trPr>
        <w:tc>
          <w:tcPr>
            <w:tcW w:w="6871" w:type="dxa"/>
            <w:tcBorders>
              <w:top w:val="nil"/>
              <w:left w:val="single" w:sz="4" w:space="0" w:color="auto"/>
              <w:bottom w:val="single" w:sz="4" w:space="0" w:color="auto"/>
              <w:right w:val="nil"/>
            </w:tcBorders>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07653A" w:rsidRPr="008977E6" w:rsidRDefault="0007653A" w:rsidP="00237C97">
      <w:pPr>
        <w:spacing w:line="360" w:lineRule="auto"/>
        <w:contextualSpacing/>
        <w:jc w:val="center"/>
        <w:rPr>
          <w:rFonts w:ascii="Arial" w:hAnsi="Arial" w:cs="Arial"/>
          <w:sz w:val="20"/>
          <w:szCs w:val="20"/>
          <w:lang w:val="es-MX"/>
        </w:rPr>
      </w:pPr>
    </w:p>
    <w:p w:rsidR="0007653A" w:rsidRPr="008977E6" w:rsidRDefault="00EB6F3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9</w:t>
      </w:r>
      <w:r w:rsidR="0007653A" w:rsidRPr="008977E6">
        <w:rPr>
          <w:rFonts w:ascii="Arial" w:hAnsi="Arial" w:cs="Arial"/>
          <w:b/>
          <w:sz w:val="20"/>
          <w:szCs w:val="20"/>
          <w:lang w:val="es-MX"/>
        </w:rPr>
        <w:t xml:space="preserve">.- </w:t>
      </w:r>
      <w:r w:rsidR="0007653A" w:rsidRPr="008977E6">
        <w:rPr>
          <w:rFonts w:ascii="Arial" w:hAnsi="Arial" w:cs="Arial"/>
          <w:sz w:val="20"/>
          <w:szCs w:val="20"/>
          <w:lang w:val="es-MX"/>
        </w:rPr>
        <w:t>Los ingreso</w:t>
      </w:r>
      <w:r w:rsidR="00DE11BF" w:rsidRPr="008977E6">
        <w:rPr>
          <w:rFonts w:ascii="Arial" w:hAnsi="Arial" w:cs="Arial"/>
          <w:sz w:val="20"/>
          <w:szCs w:val="20"/>
          <w:lang w:val="es-MX"/>
        </w:rPr>
        <w:t>s que la Tesorería Municipal de</w:t>
      </w:r>
      <w:r w:rsidR="0007653A" w:rsidRPr="008977E6">
        <w:rPr>
          <w:rFonts w:ascii="Arial" w:hAnsi="Arial" w:cs="Arial"/>
          <w:sz w:val="20"/>
          <w:szCs w:val="20"/>
          <w:lang w:val="es-MX"/>
        </w:rPr>
        <w:t xml:space="preserve"> </w:t>
      </w:r>
      <w:r w:rsidR="00DE11BF" w:rsidRPr="008977E6">
        <w:rPr>
          <w:rFonts w:ascii="Arial" w:hAnsi="Arial" w:cs="Arial"/>
          <w:sz w:val="20"/>
          <w:szCs w:val="20"/>
          <w:lang w:val="es-MX"/>
        </w:rPr>
        <w:t xml:space="preserve">Tahdziú, </w:t>
      </w:r>
      <w:r w:rsidR="0007653A" w:rsidRPr="008977E6">
        <w:rPr>
          <w:rFonts w:ascii="Arial" w:hAnsi="Arial" w:cs="Arial"/>
          <w:sz w:val="20"/>
          <w:szCs w:val="20"/>
          <w:lang w:val="es-MX"/>
        </w:rPr>
        <w:t xml:space="preserve">calcula recaudar durante el Ejercicio Fiscal del año </w:t>
      </w:r>
      <w:r w:rsidR="001C20A8" w:rsidRPr="008977E6">
        <w:rPr>
          <w:rFonts w:ascii="Arial" w:hAnsi="Arial" w:cs="Arial"/>
          <w:sz w:val="20"/>
          <w:szCs w:val="20"/>
          <w:lang w:val="es-MX"/>
        </w:rPr>
        <w:t>2021</w:t>
      </w:r>
      <w:r w:rsidR="0007653A" w:rsidRPr="008977E6">
        <w:rPr>
          <w:rFonts w:ascii="Arial" w:hAnsi="Arial" w:cs="Arial"/>
          <w:sz w:val="20"/>
          <w:szCs w:val="20"/>
          <w:lang w:val="es-MX"/>
        </w:rPr>
        <w:t>, en concepto de Aprovechamientos, son los siguientes:</w:t>
      </w:r>
    </w:p>
    <w:tbl>
      <w:tblPr>
        <w:tblW w:w="91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1"/>
        <w:gridCol w:w="2280"/>
      </w:tblGrid>
      <w:tr w:rsidR="0007653A" w:rsidRPr="008977E6" w:rsidTr="00237C97">
        <w:trPr>
          <w:trHeight w:val="300"/>
        </w:trPr>
        <w:tc>
          <w:tcPr>
            <w:tcW w:w="6871" w:type="dxa"/>
            <w:shd w:val="clear" w:color="000000" w:fill="D8D8D8"/>
            <w:vAlign w:val="center"/>
            <w:hideMark/>
          </w:tcPr>
          <w:p w:rsidR="0007653A" w:rsidRPr="008977E6" w:rsidRDefault="0007653A"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Aprovechamientos</w:t>
            </w:r>
          </w:p>
        </w:tc>
        <w:tc>
          <w:tcPr>
            <w:tcW w:w="2280" w:type="dxa"/>
            <w:shd w:val="clear" w:color="000000" w:fill="D8D8D8"/>
            <w:vAlign w:val="center"/>
            <w:hideMark/>
          </w:tcPr>
          <w:p w:rsidR="0007653A" w:rsidRPr="008977E6" w:rsidRDefault="00D32C0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15,000.00</w:t>
            </w:r>
          </w:p>
        </w:tc>
      </w:tr>
      <w:tr w:rsidR="0007653A" w:rsidRPr="008977E6" w:rsidTr="00237C97">
        <w:trPr>
          <w:trHeight w:val="300"/>
        </w:trPr>
        <w:tc>
          <w:tcPr>
            <w:tcW w:w="6871"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Aprovechamientos de tipo corriente</w:t>
            </w:r>
          </w:p>
        </w:tc>
        <w:tc>
          <w:tcPr>
            <w:tcW w:w="2280" w:type="dxa"/>
            <w:shd w:val="clear" w:color="000000" w:fill="D7E4BC"/>
            <w:vAlign w:val="center"/>
            <w:hideMark/>
          </w:tcPr>
          <w:p w:rsidR="0007653A" w:rsidRPr="008977E6" w:rsidRDefault="00D32C0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15,000.00</w:t>
            </w:r>
          </w:p>
        </w:tc>
      </w:tr>
      <w:tr w:rsidR="0007653A" w:rsidRPr="008977E6" w:rsidTr="00237C97">
        <w:trPr>
          <w:trHeight w:val="300"/>
        </w:trPr>
        <w:tc>
          <w:tcPr>
            <w:tcW w:w="6871"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 xml:space="preserve">Aprovechamientos de capital </w:t>
            </w:r>
          </w:p>
        </w:tc>
        <w:tc>
          <w:tcPr>
            <w:tcW w:w="2280" w:type="dxa"/>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07653A" w:rsidRPr="008977E6" w:rsidTr="00237C97">
        <w:trPr>
          <w:trHeight w:val="510"/>
        </w:trPr>
        <w:tc>
          <w:tcPr>
            <w:tcW w:w="6871" w:type="dxa"/>
            <w:shd w:val="clear" w:color="000000" w:fill="D7E4BC"/>
            <w:vAlign w:val="center"/>
            <w:hideMark/>
          </w:tcPr>
          <w:p w:rsidR="0007653A" w:rsidRPr="008977E6" w:rsidRDefault="0007653A"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lastRenderedPageBreak/>
              <w:t>Aprovechamientos no comprendidos en las fracciones de la Ley de Ingresos causadas en ejercicios fiscales anteriores pendientes de liquidación o pago</w:t>
            </w:r>
          </w:p>
        </w:tc>
        <w:tc>
          <w:tcPr>
            <w:tcW w:w="2280" w:type="dxa"/>
            <w:shd w:val="clear" w:color="000000" w:fill="D7E4BC"/>
            <w:vAlign w:val="center"/>
            <w:hideMark/>
          </w:tcPr>
          <w:p w:rsidR="0007653A" w:rsidRPr="008977E6" w:rsidRDefault="0007653A"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07653A" w:rsidRPr="008977E6" w:rsidRDefault="0007653A" w:rsidP="00237C97">
      <w:pPr>
        <w:spacing w:line="360" w:lineRule="auto"/>
        <w:contextualSpacing/>
        <w:jc w:val="center"/>
        <w:rPr>
          <w:rFonts w:ascii="Arial" w:hAnsi="Arial" w:cs="Arial"/>
          <w:sz w:val="20"/>
          <w:szCs w:val="20"/>
          <w:lang w:val="es-MX"/>
        </w:rPr>
      </w:pPr>
    </w:p>
    <w:p w:rsidR="00FE7EFC" w:rsidRPr="008977E6" w:rsidRDefault="00EB6F3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10</w:t>
      </w:r>
      <w:r w:rsidR="0007653A" w:rsidRPr="008977E6">
        <w:rPr>
          <w:rFonts w:ascii="Arial" w:hAnsi="Arial" w:cs="Arial"/>
          <w:b/>
          <w:sz w:val="20"/>
          <w:szCs w:val="20"/>
          <w:lang w:val="es-MX"/>
        </w:rPr>
        <w:t xml:space="preserve">.- </w:t>
      </w:r>
      <w:r w:rsidR="0007653A" w:rsidRPr="008977E6">
        <w:rPr>
          <w:rFonts w:ascii="Arial" w:hAnsi="Arial" w:cs="Arial"/>
          <w:sz w:val="20"/>
          <w:szCs w:val="20"/>
          <w:lang w:val="es-MX"/>
        </w:rPr>
        <w:t xml:space="preserve">Los ingresos que la Tesorería Municipal de </w:t>
      </w:r>
      <w:r w:rsidR="00183618" w:rsidRPr="008977E6">
        <w:rPr>
          <w:rFonts w:ascii="Arial" w:hAnsi="Arial" w:cs="Arial"/>
          <w:sz w:val="20"/>
          <w:szCs w:val="20"/>
          <w:lang w:val="es-MX"/>
        </w:rPr>
        <w:t>Tahdziú,</w:t>
      </w:r>
      <w:r w:rsidR="0007653A" w:rsidRPr="008977E6">
        <w:rPr>
          <w:rFonts w:ascii="Arial" w:hAnsi="Arial" w:cs="Arial"/>
          <w:sz w:val="20"/>
          <w:szCs w:val="20"/>
          <w:lang w:val="es-MX"/>
        </w:rPr>
        <w:t xml:space="preserve"> calcula recaudar durante el Ejercicio Fiscal del año </w:t>
      </w:r>
      <w:r w:rsidR="001C20A8" w:rsidRPr="008977E6">
        <w:rPr>
          <w:rFonts w:ascii="Arial" w:hAnsi="Arial" w:cs="Arial"/>
          <w:sz w:val="20"/>
          <w:szCs w:val="20"/>
          <w:lang w:val="es-MX"/>
        </w:rPr>
        <w:t>2021</w:t>
      </w:r>
      <w:r w:rsidR="0007653A" w:rsidRPr="008977E6">
        <w:rPr>
          <w:rFonts w:ascii="Arial" w:hAnsi="Arial" w:cs="Arial"/>
          <w:sz w:val="20"/>
          <w:szCs w:val="20"/>
          <w:lang w:val="es-MX"/>
        </w:rPr>
        <w:t>, en concepto de Participaciones, son los siguientes:</w:t>
      </w:r>
    </w:p>
    <w:tbl>
      <w:tblPr>
        <w:tblW w:w="9216" w:type="dxa"/>
        <w:tblInd w:w="-137" w:type="dxa"/>
        <w:tblCellMar>
          <w:left w:w="70" w:type="dxa"/>
          <w:right w:w="70" w:type="dxa"/>
        </w:tblCellMar>
        <w:tblLook w:val="04A0" w:firstRow="1" w:lastRow="0" w:firstColumn="1" w:lastColumn="0" w:noHBand="0" w:noVBand="1"/>
      </w:tblPr>
      <w:tblGrid>
        <w:gridCol w:w="6936"/>
        <w:gridCol w:w="2280"/>
      </w:tblGrid>
      <w:tr w:rsidR="00FE7EFC" w:rsidRPr="008977E6" w:rsidTr="00237C97">
        <w:trPr>
          <w:trHeight w:val="300"/>
        </w:trPr>
        <w:tc>
          <w:tcPr>
            <w:tcW w:w="6936" w:type="dxa"/>
            <w:tcBorders>
              <w:top w:val="single" w:sz="4" w:space="0" w:color="auto"/>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Participaciones</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8977E6" w:rsidRDefault="001C20A8"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18,620,726.76</w:t>
            </w:r>
          </w:p>
        </w:tc>
      </w:tr>
      <w:tr w:rsidR="000968DB" w:rsidRPr="008977E6" w:rsidTr="00237C97">
        <w:trPr>
          <w:trHeight w:val="300"/>
        </w:trPr>
        <w:tc>
          <w:tcPr>
            <w:tcW w:w="6936" w:type="dxa"/>
            <w:tcBorders>
              <w:top w:val="single" w:sz="4" w:space="0" w:color="auto"/>
              <w:left w:val="single" w:sz="4" w:space="0" w:color="auto"/>
              <w:bottom w:val="single" w:sz="4" w:space="0" w:color="auto"/>
              <w:right w:val="nil"/>
            </w:tcBorders>
            <w:shd w:val="clear" w:color="000000" w:fill="D7E4BC"/>
            <w:vAlign w:val="center"/>
          </w:tcPr>
          <w:p w:rsidR="000968DB" w:rsidRPr="008977E6" w:rsidRDefault="000968DB" w:rsidP="00237C97">
            <w:pPr>
              <w:spacing w:line="360" w:lineRule="auto"/>
              <w:ind w:firstLineChars="400" w:firstLine="800"/>
              <w:rPr>
                <w:rFonts w:ascii="Arial" w:hAnsi="Arial" w:cs="Arial"/>
                <w:b/>
                <w:bCs/>
                <w:color w:val="000000"/>
                <w:sz w:val="20"/>
                <w:szCs w:val="20"/>
                <w:lang w:val="es-MX" w:eastAsia="es-MX"/>
              </w:rPr>
            </w:pPr>
            <w:r w:rsidRPr="008977E6">
              <w:rPr>
                <w:rFonts w:ascii="Arial" w:hAnsi="Arial" w:cs="Arial"/>
                <w:b/>
                <w:bCs/>
                <w:color w:val="000000"/>
                <w:sz w:val="20"/>
                <w:szCs w:val="20"/>
              </w:rPr>
              <w:t>&gt; Participaciones Federales y Estatales</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8977E6" w:rsidRDefault="00D32C07"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18,620,726.76</w:t>
            </w:r>
          </w:p>
        </w:tc>
      </w:tr>
    </w:tbl>
    <w:p w:rsidR="0007653A" w:rsidRPr="008977E6" w:rsidRDefault="0007653A" w:rsidP="00237C97">
      <w:pPr>
        <w:spacing w:line="360" w:lineRule="auto"/>
        <w:contextualSpacing/>
        <w:jc w:val="center"/>
        <w:rPr>
          <w:rFonts w:ascii="Arial" w:hAnsi="Arial" w:cs="Arial"/>
          <w:sz w:val="20"/>
          <w:szCs w:val="20"/>
          <w:lang w:val="es-MX"/>
        </w:rPr>
      </w:pPr>
    </w:p>
    <w:p w:rsidR="0007653A" w:rsidRPr="008977E6" w:rsidRDefault="00EB6F3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11</w:t>
      </w:r>
      <w:r w:rsidR="0007653A" w:rsidRPr="008977E6">
        <w:rPr>
          <w:rFonts w:ascii="Arial" w:hAnsi="Arial" w:cs="Arial"/>
          <w:b/>
          <w:sz w:val="20"/>
          <w:szCs w:val="20"/>
          <w:lang w:val="es-MX"/>
        </w:rPr>
        <w:t>.-</w:t>
      </w:r>
      <w:r w:rsidR="0007653A" w:rsidRPr="008977E6">
        <w:rPr>
          <w:rFonts w:ascii="Arial" w:hAnsi="Arial" w:cs="Arial"/>
          <w:sz w:val="20"/>
          <w:szCs w:val="20"/>
          <w:lang w:val="es-MX"/>
        </w:rPr>
        <w:t>Los ingresos que la Tesorería Municipal de</w:t>
      </w:r>
      <w:r w:rsidR="00DE11BF" w:rsidRPr="008977E6">
        <w:rPr>
          <w:rFonts w:ascii="Arial" w:hAnsi="Arial" w:cs="Arial"/>
          <w:sz w:val="20"/>
          <w:szCs w:val="20"/>
          <w:lang w:val="es-MX"/>
        </w:rPr>
        <w:t xml:space="preserve"> Tahdziú,</w:t>
      </w:r>
      <w:r w:rsidR="0007653A" w:rsidRPr="008977E6">
        <w:rPr>
          <w:rFonts w:ascii="Arial" w:hAnsi="Arial" w:cs="Arial"/>
          <w:sz w:val="20"/>
          <w:szCs w:val="20"/>
          <w:lang w:val="es-MX"/>
        </w:rPr>
        <w:t xml:space="preserve"> </w:t>
      </w:r>
      <w:r w:rsidR="00DE11BF" w:rsidRPr="008977E6">
        <w:rPr>
          <w:rFonts w:ascii="Arial" w:hAnsi="Arial" w:cs="Arial"/>
          <w:sz w:val="20"/>
          <w:szCs w:val="20"/>
          <w:lang w:val="es-MX"/>
        </w:rPr>
        <w:t xml:space="preserve">se </w:t>
      </w:r>
      <w:r w:rsidR="0007653A" w:rsidRPr="008977E6">
        <w:rPr>
          <w:rFonts w:ascii="Arial" w:hAnsi="Arial" w:cs="Arial"/>
          <w:sz w:val="20"/>
          <w:szCs w:val="20"/>
          <w:lang w:val="es-MX"/>
        </w:rPr>
        <w:t xml:space="preserve">calcula recaudar durante el Ejercicio Fiscal del año </w:t>
      </w:r>
      <w:r w:rsidR="001C20A8" w:rsidRPr="008977E6">
        <w:rPr>
          <w:rFonts w:ascii="Arial" w:hAnsi="Arial" w:cs="Arial"/>
          <w:sz w:val="20"/>
          <w:szCs w:val="20"/>
          <w:lang w:val="es-MX"/>
        </w:rPr>
        <w:t>2021</w:t>
      </w:r>
      <w:r w:rsidR="0007653A" w:rsidRPr="008977E6">
        <w:rPr>
          <w:rFonts w:ascii="Arial" w:hAnsi="Arial" w:cs="Arial"/>
          <w:sz w:val="20"/>
          <w:szCs w:val="20"/>
          <w:lang w:val="es-MX"/>
        </w:rPr>
        <w:t>, en concepto de Aportaciones, son los siguientes:</w:t>
      </w:r>
    </w:p>
    <w:tbl>
      <w:tblPr>
        <w:tblW w:w="9216" w:type="dxa"/>
        <w:tblInd w:w="-137" w:type="dxa"/>
        <w:tblCellMar>
          <w:left w:w="70" w:type="dxa"/>
          <w:right w:w="70" w:type="dxa"/>
        </w:tblCellMar>
        <w:tblLook w:val="04A0" w:firstRow="1" w:lastRow="0" w:firstColumn="1" w:lastColumn="0" w:noHBand="0" w:noVBand="1"/>
      </w:tblPr>
      <w:tblGrid>
        <w:gridCol w:w="6936"/>
        <w:gridCol w:w="2280"/>
      </w:tblGrid>
      <w:tr w:rsidR="00FE7EFC" w:rsidRPr="008977E6" w:rsidTr="00237C97">
        <w:trPr>
          <w:trHeight w:val="300"/>
        </w:trPr>
        <w:tc>
          <w:tcPr>
            <w:tcW w:w="6936" w:type="dxa"/>
            <w:tcBorders>
              <w:top w:val="single" w:sz="4" w:space="0" w:color="auto"/>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8977E6" w:rsidRDefault="001C20A8"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23,943,702.80</w:t>
            </w:r>
            <w:r w:rsidR="00D1794E" w:rsidRPr="008977E6">
              <w:rPr>
                <w:rFonts w:ascii="Arial" w:hAnsi="Arial" w:cs="Arial"/>
                <w:b/>
                <w:bCs/>
                <w:color w:val="000000"/>
                <w:sz w:val="20"/>
                <w:szCs w:val="20"/>
                <w:lang w:val="es-MX" w:eastAsia="es-MX"/>
              </w:rPr>
              <w:t>0</w:t>
            </w:r>
          </w:p>
        </w:tc>
      </w:tr>
      <w:tr w:rsidR="000968DB" w:rsidRPr="008977E6" w:rsidTr="00237C97">
        <w:trPr>
          <w:trHeight w:val="300"/>
        </w:trPr>
        <w:tc>
          <w:tcPr>
            <w:tcW w:w="6936" w:type="dxa"/>
            <w:tcBorders>
              <w:top w:val="single" w:sz="4" w:space="0" w:color="auto"/>
              <w:left w:val="single" w:sz="4" w:space="0" w:color="auto"/>
              <w:bottom w:val="single" w:sz="4" w:space="0" w:color="auto"/>
              <w:right w:val="nil"/>
            </w:tcBorders>
            <w:shd w:val="clear" w:color="000000" w:fill="D7E4BC"/>
            <w:vAlign w:val="center"/>
          </w:tcPr>
          <w:p w:rsidR="000968DB" w:rsidRPr="008977E6" w:rsidRDefault="000968DB" w:rsidP="00237C97">
            <w:pPr>
              <w:spacing w:line="360" w:lineRule="auto"/>
              <w:ind w:firstLineChars="400" w:firstLine="800"/>
              <w:rPr>
                <w:rFonts w:ascii="Arial" w:hAnsi="Arial" w:cs="Arial"/>
                <w:b/>
                <w:bCs/>
                <w:color w:val="000000"/>
                <w:sz w:val="20"/>
                <w:szCs w:val="20"/>
                <w:lang w:val="es-MX" w:eastAsia="es-MX"/>
              </w:rPr>
            </w:pPr>
            <w:r w:rsidRPr="008977E6">
              <w:rPr>
                <w:rFonts w:ascii="Arial" w:hAnsi="Arial" w:cs="Arial"/>
                <w:b/>
                <w:bCs/>
                <w:color w:val="000000"/>
                <w:sz w:val="20"/>
                <w:szCs w:val="20"/>
              </w:rPr>
              <w:t>&gt; Fondo de Aportaciones para la Infraestructura Social Municipal</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8977E6" w:rsidRDefault="001C20A8"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20,160,837.80</w:t>
            </w:r>
          </w:p>
        </w:tc>
      </w:tr>
      <w:tr w:rsidR="000968DB" w:rsidRPr="008977E6" w:rsidTr="00237C97">
        <w:trPr>
          <w:trHeight w:val="300"/>
        </w:trPr>
        <w:tc>
          <w:tcPr>
            <w:tcW w:w="6936" w:type="dxa"/>
            <w:tcBorders>
              <w:top w:val="single" w:sz="4" w:space="0" w:color="auto"/>
              <w:left w:val="single" w:sz="4" w:space="0" w:color="auto"/>
              <w:bottom w:val="single" w:sz="4" w:space="0" w:color="auto"/>
              <w:right w:val="nil"/>
            </w:tcBorders>
            <w:shd w:val="clear" w:color="000000" w:fill="D7E4BC"/>
            <w:vAlign w:val="center"/>
          </w:tcPr>
          <w:p w:rsidR="000968DB" w:rsidRPr="008977E6" w:rsidRDefault="000968DB" w:rsidP="00237C97">
            <w:pPr>
              <w:spacing w:line="360" w:lineRule="auto"/>
              <w:ind w:firstLineChars="400" w:firstLine="800"/>
              <w:rPr>
                <w:rFonts w:ascii="Arial" w:hAnsi="Arial" w:cs="Arial"/>
                <w:b/>
                <w:bCs/>
                <w:color w:val="000000"/>
                <w:sz w:val="20"/>
                <w:szCs w:val="20"/>
              </w:rPr>
            </w:pPr>
            <w:r w:rsidRPr="008977E6">
              <w:rPr>
                <w:rFonts w:ascii="Arial" w:hAnsi="Arial" w:cs="Arial"/>
                <w:b/>
                <w:bCs/>
                <w:color w:val="000000"/>
                <w:sz w:val="20"/>
                <w:szCs w:val="20"/>
              </w:rPr>
              <w:t>&gt; Fondo de Aportaciones para el Fortalecimiento Municipal</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8977E6" w:rsidRDefault="001C20A8" w:rsidP="00237C97">
            <w:pPr>
              <w:spacing w:line="360" w:lineRule="auto"/>
              <w:jc w:val="right"/>
              <w:rPr>
                <w:rFonts w:ascii="Arial" w:hAnsi="Arial" w:cs="Arial"/>
                <w:b/>
                <w:bCs/>
                <w:color w:val="000000"/>
                <w:sz w:val="20"/>
                <w:szCs w:val="20"/>
              </w:rPr>
            </w:pPr>
            <w:r w:rsidRPr="008977E6">
              <w:rPr>
                <w:rFonts w:ascii="Arial" w:hAnsi="Arial" w:cs="Arial"/>
                <w:b/>
                <w:bCs/>
                <w:color w:val="000000"/>
                <w:sz w:val="20"/>
                <w:szCs w:val="20"/>
                <w:lang w:val="es-MX" w:eastAsia="es-MX"/>
              </w:rPr>
              <w:t>3,782,865.00</w:t>
            </w:r>
          </w:p>
        </w:tc>
      </w:tr>
    </w:tbl>
    <w:p w:rsidR="00FE7EFC" w:rsidRPr="008977E6" w:rsidRDefault="00FE7EFC" w:rsidP="00237C97">
      <w:pPr>
        <w:spacing w:line="360" w:lineRule="auto"/>
        <w:contextualSpacing/>
        <w:jc w:val="center"/>
        <w:rPr>
          <w:rFonts w:ascii="Arial" w:hAnsi="Arial" w:cs="Arial"/>
          <w:sz w:val="20"/>
          <w:szCs w:val="20"/>
          <w:lang w:val="es-MX"/>
        </w:rPr>
      </w:pPr>
    </w:p>
    <w:p w:rsidR="00FE7EFC" w:rsidRPr="008977E6" w:rsidRDefault="00EB6F3F" w:rsidP="00237C97">
      <w:pPr>
        <w:spacing w:line="360" w:lineRule="auto"/>
        <w:contextualSpacing/>
        <w:jc w:val="both"/>
        <w:rPr>
          <w:rFonts w:ascii="Arial" w:hAnsi="Arial" w:cs="Arial"/>
          <w:sz w:val="20"/>
          <w:szCs w:val="20"/>
          <w:lang w:val="es-MX"/>
        </w:rPr>
      </w:pPr>
      <w:r w:rsidRPr="008977E6">
        <w:rPr>
          <w:rFonts w:ascii="Arial" w:hAnsi="Arial" w:cs="Arial"/>
          <w:b/>
          <w:sz w:val="20"/>
          <w:szCs w:val="20"/>
          <w:lang w:val="es-MX"/>
        </w:rPr>
        <w:t>Artículo 12</w:t>
      </w:r>
      <w:r w:rsidR="0007653A" w:rsidRPr="008977E6">
        <w:rPr>
          <w:rFonts w:ascii="Arial" w:hAnsi="Arial" w:cs="Arial"/>
          <w:b/>
          <w:sz w:val="20"/>
          <w:szCs w:val="20"/>
          <w:lang w:val="es-MX"/>
        </w:rPr>
        <w:t>.-</w:t>
      </w:r>
      <w:r w:rsidR="0007653A" w:rsidRPr="008977E6">
        <w:rPr>
          <w:rFonts w:ascii="Arial" w:hAnsi="Arial" w:cs="Arial"/>
          <w:sz w:val="20"/>
          <w:szCs w:val="20"/>
          <w:lang w:val="es-MX"/>
        </w:rPr>
        <w:t>Los ingres</w:t>
      </w:r>
      <w:r w:rsidRPr="008977E6">
        <w:rPr>
          <w:rFonts w:ascii="Arial" w:hAnsi="Arial" w:cs="Arial"/>
          <w:sz w:val="20"/>
          <w:szCs w:val="20"/>
          <w:lang w:val="es-MX"/>
        </w:rPr>
        <w:t xml:space="preserve">os que la Tesorería Municipal </w:t>
      </w:r>
      <w:r w:rsidR="00235CA7" w:rsidRPr="008977E6">
        <w:rPr>
          <w:rFonts w:ascii="Arial" w:hAnsi="Arial" w:cs="Arial"/>
          <w:sz w:val="20"/>
          <w:szCs w:val="20"/>
          <w:lang w:val="es-MX"/>
        </w:rPr>
        <w:t>de Tahdziú</w:t>
      </w:r>
      <w:r w:rsidR="00DE11BF" w:rsidRPr="008977E6">
        <w:rPr>
          <w:rFonts w:ascii="Arial" w:hAnsi="Arial" w:cs="Arial"/>
          <w:sz w:val="20"/>
          <w:szCs w:val="20"/>
          <w:lang w:val="es-MX"/>
        </w:rPr>
        <w:t>,</w:t>
      </w:r>
      <w:r w:rsidR="00235CA7" w:rsidRPr="008977E6">
        <w:rPr>
          <w:rFonts w:ascii="Arial" w:hAnsi="Arial" w:cs="Arial"/>
          <w:sz w:val="20"/>
          <w:szCs w:val="20"/>
          <w:lang w:val="es-MX"/>
        </w:rPr>
        <w:t xml:space="preserve"> se</w:t>
      </w:r>
      <w:r w:rsidR="0007653A" w:rsidRPr="008977E6">
        <w:rPr>
          <w:rFonts w:ascii="Arial" w:hAnsi="Arial" w:cs="Arial"/>
          <w:sz w:val="20"/>
          <w:szCs w:val="20"/>
          <w:lang w:val="es-MX"/>
        </w:rPr>
        <w:t xml:space="preserve"> calcula recaudar durante el Ejercicio Fiscal del año </w:t>
      </w:r>
      <w:r w:rsidR="001C20A8" w:rsidRPr="008977E6">
        <w:rPr>
          <w:rFonts w:ascii="Arial" w:hAnsi="Arial" w:cs="Arial"/>
          <w:sz w:val="20"/>
          <w:szCs w:val="20"/>
          <w:lang w:val="es-MX"/>
        </w:rPr>
        <w:t>2021</w:t>
      </w:r>
      <w:r w:rsidR="0007653A" w:rsidRPr="008977E6">
        <w:rPr>
          <w:rFonts w:ascii="Arial" w:hAnsi="Arial" w:cs="Arial"/>
          <w:sz w:val="20"/>
          <w:szCs w:val="20"/>
          <w:lang w:val="es-MX"/>
        </w:rPr>
        <w:t>, en concepto de Ingresos Extraordinarios, son los siguientes:</w:t>
      </w:r>
    </w:p>
    <w:tbl>
      <w:tblPr>
        <w:tblW w:w="9151" w:type="dxa"/>
        <w:tblInd w:w="-72" w:type="dxa"/>
        <w:tblCellMar>
          <w:left w:w="70" w:type="dxa"/>
          <w:right w:w="70" w:type="dxa"/>
        </w:tblCellMar>
        <w:tblLook w:val="04A0" w:firstRow="1" w:lastRow="0" w:firstColumn="1" w:lastColumn="0" w:noHBand="0" w:noVBand="1"/>
      </w:tblPr>
      <w:tblGrid>
        <w:gridCol w:w="6871"/>
        <w:gridCol w:w="2280"/>
      </w:tblGrid>
      <w:tr w:rsidR="00FE7EFC" w:rsidRPr="008977E6" w:rsidTr="00237C97">
        <w:trPr>
          <w:trHeight w:val="300"/>
        </w:trPr>
        <w:tc>
          <w:tcPr>
            <w:tcW w:w="6871" w:type="dxa"/>
            <w:tcBorders>
              <w:top w:val="single" w:sz="4" w:space="0" w:color="auto"/>
              <w:left w:val="single" w:sz="4" w:space="0" w:color="auto"/>
              <w:bottom w:val="single" w:sz="4" w:space="0" w:color="auto"/>
              <w:right w:val="nil"/>
            </w:tcBorders>
            <w:shd w:val="clear" w:color="000000" w:fill="D8D8D8"/>
            <w:vAlign w:val="center"/>
            <w:hideMark/>
          </w:tcPr>
          <w:p w:rsidR="00FE7EFC" w:rsidRPr="008977E6" w:rsidRDefault="00FE7EFC"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 xml:space="preserve">Ingresos de operación de entidades paraestatales empresariales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51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07653A" w:rsidRPr="008977E6" w:rsidRDefault="0007653A" w:rsidP="00237C97">
      <w:pPr>
        <w:spacing w:line="360" w:lineRule="auto"/>
        <w:contextualSpacing/>
        <w:rPr>
          <w:rFonts w:ascii="Arial" w:hAnsi="Arial" w:cs="Arial"/>
          <w:sz w:val="20"/>
          <w:szCs w:val="20"/>
          <w:lang w:val="es-MX"/>
        </w:rPr>
      </w:pPr>
    </w:p>
    <w:tbl>
      <w:tblPr>
        <w:tblW w:w="9151" w:type="dxa"/>
        <w:tblInd w:w="-72" w:type="dxa"/>
        <w:tblCellMar>
          <w:left w:w="70" w:type="dxa"/>
          <w:right w:w="70" w:type="dxa"/>
        </w:tblCellMar>
        <w:tblLook w:val="04A0" w:firstRow="1" w:lastRow="0" w:firstColumn="1" w:lastColumn="0" w:noHBand="0" w:noVBand="1"/>
      </w:tblPr>
      <w:tblGrid>
        <w:gridCol w:w="6871"/>
        <w:gridCol w:w="2280"/>
      </w:tblGrid>
      <w:tr w:rsidR="00FE7EFC" w:rsidRPr="008977E6" w:rsidTr="00237C97">
        <w:trPr>
          <w:trHeight w:val="300"/>
        </w:trPr>
        <w:tc>
          <w:tcPr>
            <w:tcW w:w="6871" w:type="dxa"/>
            <w:tcBorders>
              <w:top w:val="single" w:sz="4" w:space="0" w:color="auto"/>
              <w:left w:val="single" w:sz="4" w:space="0" w:color="auto"/>
              <w:bottom w:val="single" w:sz="4" w:space="0" w:color="auto"/>
              <w:right w:val="nil"/>
            </w:tcBorders>
            <w:shd w:val="clear" w:color="000000" w:fill="D8D8D8"/>
            <w:vAlign w:val="center"/>
            <w:hideMark/>
          </w:tcPr>
          <w:p w:rsidR="00FE7EFC" w:rsidRPr="008977E6" w:rsidRDefault="00FE7EFC"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Transferencias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Subsidios y Subvenciones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 xml:space="preserve">Ayudas sociales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tcBorders>
              <w:top w:val="nil"/>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FE7EFC" w:rsidRPr="008977E6" w:rsidRDefault="00FE7EFC" w:rsidP="00237C97">
      <w:pPr>
        <w:spacing w:line="360" w:lineRule="auto"/>
        <w:contextualSpacing/>
        <w:jc w:val="center"/>
        <w:rPr>
          <w:rFonts w:ascii="Arial" w:hAnsi="Arial" w:cs="Arial"/>
          <w:sz w:val="20"/>
          <w:szCs w:val="20"/>
          <w:lang w:val="es-MX"/>
        </w:rPr>
      </w:pPr>
    </w:p>
    <w:tbl>
      <w:tblPr>
        <w:tblW w:w="9151" w:type="dxa"/>
        <w:tblInd w:w="-72" w:type="dxa"/>
        <w:tblCellMar>
          <w:left w:w="70" w:type="dxa"/>
          <w:right w:w="70" w:type="dxa"/>
        </w:tblCellMar>
        <w:tblLook w:val="04A0" w:firstRow="1" w:lastRow="0" w:firstColumn="1" w:lastColumn="0" w:noHBand="0" w:noVBand="1"/>
      </w:tblPr>
      <w:tblGrid>
        <w:gridCol w:w="6871"/>
        <w:gridCol w:w="2280"/>
      </w:tblGrid>
      <w:tr w:rsidR="00FE7EFC" w:rsidRPr="008977E6" w:rsidTr="00237C97">
        <w:trPr>
          <w:trHeight w:val="300"/>
        </w:trPr>
        <w:tc>
          <w:tcPr>
            <w:tcW w:w="6871" w:type="dxa"/>
            <w:tcBorders>
              <w:top w:val="single" w:sz="4" w:space="0" w:color="auto"/>
              <w:left w:val="single" w:sz="4" w:space="0" w:color="auto"/>
              <w:bottom w:val="single" w:sz="4" w:space="0" w:color="auto"/>
              <w:right w:val="nil"/>
            </w:tcBorders>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Convenios</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FE7EFC" w:rsidRPr="008977E6" w:rsidRDefault="00FE7EFC" w:rsidP="00237C97">
      <w:pPr>
        <w:spacing w:line="360" w:lineRule="auto"/>
        <w:contextualSpacing/>
        <w:jc w:val="center"/>
        <w:rPr>
          <w:rFonts w:ascii="Arial" w:hAnsi="Arial" w:cs="Arial"/>
          <w:sz w:val="20"/>
          <w:szCs w:val="20"/>
          <w:lang w:val="es-MX"/>
        </w:rPr>
      </w:pPr>
    </w:p>
    <w:tbl>
      <w:tblPr>
        <w:tblW w:w="91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1"/>
        <w:gridCol w:w="2280"/>
      </w:tblGrid>
      <w:tr w:rsidR="00FE7EFC" w:rsidRPr="008977E6" w:rsidTr="00237C97">
        <w:trPr>
          <w:trHeight w:val="300"/>
        </w:trPr>
        <w:tc>
          <w:tcPr>
            <w:tcW w:w="6871" w:type="dxa"/>
            <w:shd w:val="clear" w:color="000000" w:fill="D8D8D8"/>
            <w:vAlign w:val="center"/>
            <w:hideMark/>
          </w:tcPr>
          <w:p w:rsidR="00FE7EFC" w:rsidRPr="008977E6" w:rsidRDefault="00FE7EFC" w:rsidP="00237C97">
            <w:pPr>
              <w:spacing w:line="360" w:lineRule="auto"/>
              <w:jc w:val="both"/>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lastRenderedPageBreak/>
              <w:t>Ingresos derivados de Financiamientos</w:t>
            </w:r>
          </w:p>
        </w:tc>
        <w:tc>
          <w:tcPr>
            <w:tcW w:w="2280" w:type="dxa"/>
            <w:shd w:val="clear" w:color="000000" w:fill="D8D8D8"/>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r w:rsidR="00FE7EFC" w:rsidRPr="008977E6" w:rsidTr="00237C97">
        <w:trPr>
          <w:trHeight w:val="300"/>
        </w:trPr>
        <w:tc>
          <w:tcPr>
            <w:tcW w:w="6871" w:type="dxa"/>
            <w:shd w:val="clear" w:color="000000" w:fill="D7E4BC"/>
            <w:vAlign w:val="center"/>
            <w:hideMark/>
          </w:tcPr>
          <w:p w:rsidR="00FE7EFC" w:rsidRPr="008977E6" w:rsidRDefault="00FE7EFC" w:rsidP="00237C97">
            <w:pPr>
              <w:spacing w:line="360" w:lineRule="auto"/>
              <w:ind w:firstLineChars="200" w:firstLine="400"/>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Endeudamiento interno</w:t>
            </w:r>
          </w:p>
        </w:tc>
        <w:tc>
          <w:tcPr>
            <w:tcW w:w="2280" w:type="dxa"/>
            <w:shd w:val="clear" w:color="000000" w:fill="D7E4BC"/>
            <w:vAlign w:val="center"/>
            <w:hideMark/>
          </w:tcPr>
          <w:p w:rsidR="00FE7EFC" w:rsidRPr="008977E6" w:rsidRDefault="00FE7EFC" w:rsidP="00237C97">
            <w:pPr>
              <w:spacing w:line="360" w:lineRule="auto"/>
              <w:jc w:val="right"/>
              <w:rPr>
                <w:rFonts w:ascii="Arial" w:hAnsi="Arial" w:cs="Arial"/>
                <w:b/>
                <w:bCs/>
                <w:color w:val="000000"/>
                <w:sz w:val="20"/>
                <w:szCs w:val="20"/>
                <w:lang w:val="es-MX" w:eastAsia="es-MX"/>
              </w:rPr>
            </w:pPr>
            <w:r w:rsidRPr="008977E6">
              <w:rPr>
                <w:rFonts w:ascii="Arial" w:hAnsi="Arial" w:cs="Arial"/>
                <w:b/>
                <w:bCs/>
                <w:color w:val="000000"/>
                <w:sz w:val="20"/>
                <w:szCs w:val="20"/>
                <w:lang w:val="es-MX" w:eastAsia="es-MX"/>
              </w:rPr>
              <w:t>0.00</w:t>
            </w:r>
          </w:p>
        </w:tc>
      </w:tr>
    </w:tbl>
    <w:p w:rsidR="00FE7EFC" w:rsidRPr="008977E6" w:rsidRDefault="00FE7EFC" w:rsidP="00237C97">
      <w:pPr>
        <w:spacing w:line="360" w:lineRule="auto"/>
        <w:contextualSpacing/>
        <w:jc w:val="center"/>
        <w:rPr>
          <w:rFonts w:ascii="Arial" w:hAnsi="Arial" w:cs="Arial"/>
          <w:sz w:val="20"/>
          <w:szCs w:val="20"/>
          <w:lang w:val="es-MX"/>
        </w:rPr>
      </w:pPr>
    </w:p>
    <w:p w:rsidR="002E47CC" w:rsidRPr="008977E6" w:rsidRDefault="00757CC2" w:rsidP="00237C97">
      <w:pPr>
        <w:spacing w:line="360" w:lineRule="auto"/>
        <w:ind w:firstLine="708"/>
        <w:contextualSpacing/>
        <w:jc w:val="both"/>
        <w:rPr>
          <w:rFonts w:ascii="Arial" w:hAnsi="Arial" w:cs="Arial"/>
          <w:b/>
          <w:color w:val="000000" w:themeColor="text1"/>
          <w:sz w:val="20"/>
          <w:szCs w:val="20"/>
          <w:lang w:val="es-ES_tradnl"/>
        </w:rPr>
      </w:pPr>
      <w:r w:rsidRPr="008977E6">
        <w:rPr>
          <w:rFonts w:ascii="Arial" w:hAnsi="Arial" w:cs="Arial"/>
          <w:sz w:val="20"/>
          <w:szCs w:val="20"/>
          <w:lang w:val="es-ES_tradnl"/>
        </w:rPr>
        <w:t xml:space="preserve">El Total de Ingresos que el Ayuntamiento de </w:t>
      </w:r>
      <w:r w:rsidR="00183618" w:rsidRPr="008977E6">
        <w:rPr>
          <w:rFonts w:ascii="Arial" w:hAnsi="Arial" w:cs="Arial"/>
          <w:sz w:val="20"/>
          <w:szCs w:val="20"/>
          <w:lang w:val="es-ES_tradnl"/>
        </w:rPr>
        <w:t>Tahdziú,</w:t>
      </w:r>
      <w:r w:rsidRPr="008977E6">
        <w:rPr>
          <w:rFonts w:ascii="Arial" w:hAnsi="Arial" w:cs="Arial"/>
          <w:sz w:val="20"/>
          <w:szCs w:val="20"/>
          <w:lang w:val="es-ES_tradnl"/>
        </w:rPr>
        <w:t xml:space="preserve"> Yucatán, percibirá en el ejer</w:t>
      </w:r>
      <w:r w:rsidR="002E47CC" w:rsidRPr="008977E6">
        <w:rPr>
          <w:rFonts w:ascii="Arial" w:hAnsi="Arial" w:cs="Arial"/>
          <w:sz w:val="20"/>
          <w:szCs w:val="20"/>
          <w:lang w:val="es-ES_tradnl"/>
        </w:rPr>
        <w:t xml:space="preserve">cicio fiscal del año </w:t>
      </w:r>
      <w:r w:rsidR="001C20A8" w:rsidRPr="008977E6">
        <w:rPr>
          <w:rFonts w:ascii="Arial" w:hAnsi="Arial" w:cs="Arial"/>
          <w:sz w:val="20"/>
          <w:szCs w:val="20"/>
          <w:lang w:val="es-ES_tradnl"/>
        </w:rPr>
        <w:t>2021</w:t>
      </w:r>
      <w:r w:rsidRPr="008977E6">
        <w:rPr>
          <w:rFonts w:ascii="Arial" w:hAnsi="Arial" w:cs="Arial"/>
          <w:sz w:val="20"/>
          <w:szCs w:val="20"/>
          <w:lang w:val="es-ES_tradnl"/>
        </w:rPr>
        <w:t>, ascenderá a</w:t>
      </w:r>
      <w:r w:rsidRPr="008977E6">
        <w:rPr>
          <w:rFonts w:ascii="Arial" w:hAnsi="Arial" w:cs="Arial"/>
          <w:color w:val="000000" w:themeColor="text1"/>
          <w:sz w:val="20"/>
          <w:szCs w:val="20"/>
          <w:lang w:val="es-ES_tradnl"/>
        </w:rPr>
        <w:t xml:space="preserve">: </w:t>
      </w:r>
      <w:r w:rsidR="00320959" w:rsidRPr="008977E6">
        <w:rPr>
          <w:rFonts w:ascii="Arial" w:hAnsi="Arial" w:cs="Arial"/>
          <w:b/>
          <w:color w:val="000000" w:themeColor="text1"/>
          <w:sz w:val="20"/>
          <w:szCs w:val="20"/>
          <w:lang w:val="es-ES_tradnl"/>
        </w:rPr>
        <w:t xml:space="preserve">$ </w:t>
      </w:r>
      <w:r w:rsidR="001C20A8" w:rsidRPr="008977E6">
        <w:rPr>
          <w:rFonts w:ascii="Arial" w:hAnsi="Arial" w:cs="Arial"/>
          <w:b/>
          <w:color w:val="000000" w:themeColor="text1"/>
          <w:sz w:val="20"/>
          <w:szCs w:val="20"/>
          <w:lang w:val="es-ES_tradnl"/>
        </w:rPr>
        <w:t>42,708,029.56</w:t>
      </w:r>
    </w:p>
    <w:p w:rsidR="008977E6" w:rsidRDefault="008977E6" w:rsidP="00237C97">
      <w:pPr>
        <w:spacing w:line="360" w:lineRule="auto"/>
        <w:jc w:val="center"/>
        <w:rPr>
          <w:rFonts w:ascii="Arial" w:hAnsi="Arial" w:cs="Arial"/>
          <w:b/>
          <w:sz w:val="20"/>
          <w:szCs w:val="20"/>
        </w:rPr>
      </w:pPr>
    </w:p>
    <w:p w:rsidR="008A51A5" w:rsidRDefault="008A51A5" w:rsidP="008A51A5">
      <w:pPr>
        <w:spacing w:line="360" w:lineRule="auto"/>
        <w:jc w:val="both"/>
        <w:rPr>
          <w:rFonts w:ascii="Arial" w:hAnsi="Arial" w:cs="Arial"/>
          <w:b/>
          <w:sz w:val="20"/>
          <w:szCs w:val="20"/>
          <w:lang w:val="es-MX"/>
        </w:rPr>
      </w:pPr>
      <w:r>
        <w:rPr>
          <w:rFonts w:ascii="Arial" w:hAnsi="Arial" w:cs="Arial"/>
          <w:b/>
          <w:sz w:val="20"/>
          <w:szCs w:val="20"/>
          <w:lang w:val="es-MX"/>
        </w:rPr>
        <w:t>Artículo 13.-</w:t>
      </w:r>
      <w:r>
        <w:rPr>
          <w:rFonts w:ascii="Arial" w:hAnsi="Arial" w:cs="Arial"/>
          <w:sz w:val="20"/>
          <w:szCs w:val="20"/>
          <w:lang w:val="es-MX"/>
        </w:rPr>
        <w:t xml:space="preserve"> Las contribuciones causadas en ejercicios fiscales anteriores, pendientes de liquidación o pago se cubrirán de conformidad con las disposiciones legales que rigieron en la época en que se causaron.</w:t>
      </w:r>
    </w:p>
    <w:p w:rsidR="008A51A5" w:rsidRDefault="008A51A5" w:rsidP="008A51A5">
      <w:pPr>
        <w:spacing w:line="360" w:lineRule="auto"/>
        <w:ind w:firstLine="708"/>
        <w:jc w:val="both"/>
        <w:rPr>
          <w:rFonts w:ascii="Arial" w:hAnsi="Arial" w:cs="Arial"/>
          <w:sz w:val="20"/>
          <w:szCs w:val="20"/>
          <w:lang w:val="es-MX"/>
        </w:rPr>
      </w:pPr>
    </w:p>
    <w:p w:rsidR="008A51A5" w:rsidRDefault="008A51A5" w:rsidP="008A51A5">
      <w:pPr>
        <w:spacing w:line="360" w:lineRule="auto"/>
        <w:jc w:val="both"/>
        <w:rPr>
          <w:rFonts w:ascii="Arial" w:hAnsi="Arial" w:cs="Arial"/>
          <w:sz w:val="20"/>
          <w:szCs w:val="20"/>
          <w:lang w:val="es-MX"/>
        </w:rPr>
      </w:pPr>
      <w:r>
        <w:rPr>
          <w:rFonts w:ascii="Arial" w:hAnsi="Arial" w:cs="Arial"/>
          <w:b/>
          <w:sz w:val="20"/>
          <w:szCs w:val="20"/>
          <w:lang w:val="es-MX"/>
        </w:rPr>
        <w:t>Artículo 14.-</w:t>
      </w:r>
      <w:r>
        <w:rPr>
          <w:rFonts w:ascii="Arial" w:hAnsi="Arial" w:cs="Arial"/>
          <w:sz w:val="20"/>
          <w:szCs w:val="20"/>
          <w:lang w:val="es-MX"/>
        </w:rPr>
        <w:t xml:space="preserve"> El pago de las contribuciones se acredita con el recibo oficial expedido por la Tesorería del Municipio de Tahdziú, Yucatán.</w:t>
      </w:r>
    </w:p>
    <w:p w:rsidR="008A51A5" w:rsidRDefault="008A51A5" w:rsidP="008A51A5">
      <w:pPr>
        <w:spacing w:line="360" w:lineRule="auto"/>
        <w:ind w:firstLine="708"/>
        <w:jc w:val="both"/>
        <w:rPr>
          <w:rFonts w:ascii="Arial" w:hAnsi="Arial" w:cs="Arial"/>
          <w:sz w:val="20"/>
          <w:szCs w:val="20"/>
          <w:lang w:val="es-MX"/>
        </w:rPr>
      </w:pPr>
    </w:p>
    <w:p w:rsidR="008A51A5" w:rsidRDefault="008A51A5" w:rsidP="008A51A5">
      <w:pPr>
        <w:spacing w:line="360" w:lineRule="auto"/>
        <w:jc w:val="both"/>
        <w:rPr>
          <w:rFonts w:ascii="Arial" w:hAnsi="Arial" w:cs="Arial"/>
          <w:sz w:val="20"/>
          <w:szCs w:val="20"/>
          <w:lang w:val="es-MX"/>
        </w:rPr>
      </w:pPr>
      <w:r>
        <w:rPr>
          <w:rFonts w:ascii="Arial" w:hAnsi="Arial" w:cs="Arial"/>
          <w:b/>
          <w:sz w:val="20"/>
          <w:szCs w:val="20"/>
          <w:lang w:val="es-MX"/>
        </w:rPr>
        <w:t>Artículo 15.-</w:t>
      </w:r>
      <w:r>
        <w:rPr>
          <w:rFonts w:ascii="Arial" w:hAnsi="Arial" w:cs="Arial"/>
          <w:sz w:val="20"/>
          <w:szCs w:val="20"/>
          <w:lang w:val="es-MX"/>
        </w:rPr>
        <w:t xml:space="preserve"> Las contribuciones se causarán, liquidarán y recaudarán en los términos de la Ley de Hacienda del Municipio de Tahdziú, Yucatán, vigente, y a falta de disposición procedimental expresa, se aplicarán supletoriamente el Código Fiscal del Estado de Yucatán y el Código fiscal de la Federación, respectivamente.</w:t>
      </w:r>
    </w:p>
    <w:p w:rsidR="008A51A5" w:rsidRDefault="008A51A5" w:rsidP="008A51A5">
      <w:pPr>
        <w:spacing w:line="360" w:lineRule="auto"/>
        <w:ind w:firstLine="708"/>
        <w:jc w:val="both"/>
        <w:rPr>
          <w:rFonts w:ascii="Arial" w:hAnsi="Arial" w:cs="Arial"/>
          <w:sz w:val="20"/>
          <w:szCs w:val="20"/>
          <w:lang w:val="es-MX"/>
        </w:rPr>
      </w:pPr>
    </w:p>
    <w:p w:rsidR="008A51A5" w:rsidRDefault="008A51A5" w:rsidP="008A51A5">
      <w:pPr>
        <w:spacing w:line="360" w:lineRule="auto"/>
        <w:jc w:val="both"/>
        <w:rPr>
          <w:rFonts w:ascii="Arial" w:hAnsi="Arial" w:cs="Arial"/>
          <w:sz w:val="20"/>
          <w:szCs w:val="20"/>
          <w:lang w:val="es-MX"/>
        </w:rPr>
      </w:pPr>
      <w:r>
        <w:rPr>
          <w:rFonts w:ascii="Arial" w:hAnsi="Arial" w:cs="Arial"/>
          <w:b/>
          <w:sz w:val="20"/>
          <w:szCs w:val="20"/>
          <w:lang w:val="es-MX"/>
        </w:rPr>
        <w:t>Artículo 16.-</w:t>
      </w:r>
      <w:r>
        <w:rPr>
          <w:rFonts w:ascii="Arial" w:hAnsi="Arial" w:cs="Arial"/>
          <w:sz w:val="20"/>
          <w:szCs w:val="20"/>
          <w:lang w:val="es-MX"/>
        </w:rPr>
        <w:t xml:space="preserve"> El Ayuntamiento de Tahdziú podrá celebrar con el Gobierno Estatal los convenios necesarios para coordinarse administrativamente en las funciones de recaudación, comprobación, determinación y cobranza de las contribuciones y créditos fiscales estatales y federales.</w:t>
      </w:r>
    </w:p>
    <w:p w:rsidR="008A51A5" w:rsidRDefault="008A51A5" w:rsidP="008A51A5">
      <w:pPr>
        <w:spacing w:line="360" w:lineRule="auto"/>
        <w:ind w:firstLine="708"/>
        <w:jc w:val="both"/>
        <w:rPr>
          <w:rFonts w:ascii="Arial" w:hAnsi="Arial" w:cs="Arial"/>
          <w:sz w:val="20"/>
          <w:szCs w:val="20"/>
          <w:lang w:val="es-MX"/>
        </w:rPr>
      </w:pPr>
    </w:p>
    <w:p w:rsidR="008A51A5" w:rsidRDefault="008A51A5" w:rsidP="008A51A5">
      <w:pPr>
        <w:spacing w:line="360" w:lineRule="auto"/>
        <w:ind w:firstLine="708"/>
        <w:jc w:val="both"/>
        <w:rPr>
          <w:rFonts w:ascii="Arial" w:hAnsi="Arial" w:cs="Arial"/>
          <w:sz w:val="20"/>
          <w:szCs w:val="20"/>
          <w:lang w:val="es-MX"/>
        </w:rPr>
      </w:pPr>
      <w:r>
        <w:rPr>
          <w:rFonts w:ascii="Arial" w:hAnsi="Arial" w:cs="Arial"/>
          <w:sz w:val="20"/>
          <w:szCs w:val="20"/>
          <w:lang w:val="es-MX"/>
        </w:rPr>
        <w:t>De igual manera, el Ayuntamiento de Tahdziú, podrá establecer programas de apoyo a los deudores de la Tesorería, mediante acuerdos autorizados por el H. Cabildo.</w:t>
      </w:r>
    </w:p>
    <w:p w:rsidR="008A51A5" w:rsidRDefault="008A51A5" w:rsidP="008A51A5">
      <w:pPr>
        <w:spacing w:line="360" w:lineRule="auto"/>
        <w:ind w:firstLine="708"/>
        <w:jc w:val="both"/>
        <w:rPr>
          <w:rFonts w:ascii="Arial" w:hAnsi="Arial" w:cs="Arial"/>
          <w:sz w:val="20"/>
          <w:szCs w:val="20"/>
          <w:lang w:val="es-MX"/>
        </w:rPr>
      </w:pPr>
    </w:p>
    <w:p w:rsidR="008A51A5" w:rsidRDefault="008A51A5" w:rsidP="008A51A5">
      <w:pPr>
        <w:spacing w:line="360" w:lineRule="auto"/>
        <w:ind w:firstLine="708"/>
        <w:jc w:val="center"/>
        <w:rPr>
          <w:rFonts w:ascii="Arial" w:hAnsi="Arial" w:cs="Arial"/>
          <w:b/>
          <w:sz w:val="20"/>
          <w:szCs w:val="20"/>
          <w:lang w:val="en-US"/>
        </w:rPr>
      </w:pPr>
      <w:r>
        <w:rPr>
          <w:rFonts w:ascii="Arial" w:hAnsi="Arial" w:cs="Arial"/>
          <w:b/>
          <w:sz w:val="20"/>
          <w:szCs w:val="20"/>
          <w:lang w:val="en-US"/>
        </w:rPr>
        <w:t>T r a n s i t o r i o:</w:t>
      </w:r>
    </w:p>
    <w:p w:rsidR="008A51A5" w:rsidRDefault="008A51A5" w:rsidP="008A51A5">
      <w:pPr>
        <w:spacing w:line="360" w:lineRule="auto"/>
        <w:ind w:firstLine="708"/>
        <w:jc w:val="center"/>
        <w:rPr>
          <w:rFonts w:ascii="Arial" w:hAnsi="Arial" w:cs="Arial"/>
          <w:b/>
          <w:sz w:val="20"/>
          <w:szCs w:val="20"/>
          <w:lang w:val="en-US"/>
        </w:rPr>
      </w:pPr>
    </w:p>
    <w:p w:rsidR="008A51A5" w:rsidRDefault="008A51A5" w:rsidP="008A51A5">
      <w:pPr>
        <w:spacing w:line="360" w:lineRule="auto"/>
        <w:jc w:val="both"/>
        <w:rPr>
          <w:rFonts w:ascii="Arial" w:hAnsi="Arial" w:cs="Arial"/>
          <w:sz w:val="20"/>
          <w:szCs w:val="20"/>
          <w:lang w:val="es-MX"/>
        </w:rPr>
      </w:pPr>
      <w:r>
        <w:rPr>
          <w:rFonts w:ascii="Arial" w:hAnsi="Arial" w:cs="Arial"/>
          <w:b/>
          <w:sz w:val="20"/>
          <w:szCs w:val="20"/>
          <w:lang w:val="es-MX"/>
        </w:rPr>
        <w:t>Artículo único. -</w:t>
      </w:r>
      <w:r>
        <w:rPr>
          <w:rFonts w:ascii="Arial" w:hAnsi="Arial" w:cs="Arial"/>
          <w:sz w:val="20"/>
          <w:szCs w:val="20"/>
          <w:lang w:val="es-MX"/>
        </w:rPr>
        <w:t xml:space="preserve"> Para poder percibir aprovechamientos vía infracciones por faltas administrativas, el Ayuntamiento aplicará el Bando Policía y Gobierno del Municipio de Tahdziú, Yucatán, mismo que establecen los montos de las sanciones correspondientes.</w:t>
      </w:r>
    </w:p>
    <w:p w:rsidR="008A51A5" w:rsidRDefault="008A51A5" w:rsidP="008A51A5">
      <w:pPr>
        <w:widowControl w:val="0"/>
        <w:spacing w:line="360" w:lineRule="auto"/>
        <w:ind w:firstLine="708"/>
        <w:jc w:val="both"/>
        <w:rPr>
          <w:rFonts w:ascii="Arial" w:hAnsi="Arial" w:cs="Arial"/>
          <w:b/>
          <w:color w:val="000000" w:themeColor="text1"/>
          <w:sz w:val="20"/>
          <w:szCs w:val="20"/>
          <w:lang w:val="es-MX"/>
        </w:rPr>
      </w:pPr>
    </w:p>
    <w:p w:rsidR="00FF21E7" w:rsidRPr="00FF21E7" w:rsidRDefault="00FF21E7" w:rsidP="00FF21E7">
      <w:pPr>
        <w:widowControl w:val="0"/>
        <w:autoSpaceDE w:val="0"/>
        <w:autoSpaceDN w:val="0"/>
        <w:spacing w:line="360" w:lineRule="auto"/>
        <w:jc w:val="center"/>
        <w:rPr>
          <w:rFonts w:ascii="Arial" w:eastAsia="Arial" w:hAnsi="Arial" w:cs="Arial"/>
          <w:b/>
          <w:sz w:val="22"/>
          <w:szCs w:val="22"/>
          <w:lang w:val="pt-BR" w:bidi="es-ES"/>
        </w:rPr>
      </w:pPr>
      <w:r w:rsidRPr="00FF21E7">
        <w:rPr>
          <w:rFonts w:ascii="Arial" w:eastAsia="Arial" w:hAnsi="Arial" w:cs="Arial"/>
          <w:b/>
          <w:sz w:val="22"/>
          <w:szCs w:val="22"/>
          <w:lang w:val="pt-BR" w:bidi="es-ES"/>
        </w:rPr>
        <w:t>Transitorios:</w:t>
      </w:r>
    </w:p>
    <w:p w:rsidR="00FF21E7" w:rsidRPr="00FF21E7" w:rsidRDefault="00FF21E7" w:rsidP="00FF21E7">
      <w:pPr>
        <w:widowControl w:val="0"/>
        <w:autoSpaceDE w:val="0"/>
        <w:autoSpaceDN w:val="0"/>
        <w:adjustRightInd w:val="0"/>
        <w:jc w:val="center"/>
        <w:rPr>
          <w:rFonts w:ascii="Arial" w:eastAsia="Arial" w:hAnsi="Arial" w:cs="Arial"/>
          <w:b/>
          <w:sz w:val="22"/>
          <w:szCs w:val="22"/>
          <w:lang w:val="pt-BR" w:bidi="es-ES"/>
        </w:rPr>
      </w:pPr>
    </w:p>
    <w:p w:rsidR="00FF21E7" w:rsidRPr="00FF21E7" w:rsidRDefault="00FF21E7" w:rsidP="00FF21E7">
      <w:pPr>
        <w:widowControl w:val="0"/>
        <w:autoSpaceDE w:val="0"/>
        <w:autoSpaceDN w:val="0"/>
        <w:spacing w:line="360" w:lineRule="auto"/>
        <w:jc w:val="both"/>
        <w:rPr>
          <w:rFonts w:ascii="Arial" w:eastAsia="Arial" w:hAnsi="Arial" w:cs="Arial"/>
          <w:sz w:val="22"/>
          <w:szCs w:val="22"/>
          <w:lang w:val="es-MX" w:bidi="es-ES"/>
        </w:rPr>
      </w:pPr>
      <w:r w:rsidRPr="00FF21E7">
        <w:rPr>
          <w:rFonts w:ascii="Arial" w:eastAsia="Arial" w:hAnsi="Arial" w:cs="Arial"/>
          <w:b/>
          <w:sz w:val="22"/>
          <w:szCs w:val="22"/>
          <w:lang w:val="es-MX" w:bidi="es-ES"/>
        </w:rPr>
        <w:t xml:space="preserve">Artículo primero. </w:t>
      </w:r>
      <w:r w:rsidRPr="00FF21E7">
        <w:rPr>
          <w:rFonts w:ascii="Arial" w:eastAsia="Arial" w:hAnsi="Arial" w:cs="Arial"/>
          <w:sz w:val="22"/>
          <w:szCs w:val="22"/>
          <w:lang w:val="es-MX" w:bidi="es-ES"/>
        </w:rPr>
        <w:t xml:space="preserve">El presente decreto y las leyes contenidas en él, entrarán en vigor el día primero de enero del año dos mil veintiuno, previa su publicación en el Diario Oficial del </w:t>
      </w:r>
      <w:r w:rsidRPr="00FF21E7">
        <w:rPr>
          <w:rFonts w:ascii="Arial" w:eastAsia="Arial" w:hAnsi="Arial" w:cs="Arial"/>
          <w:sz w:val="22"/>
          <w:szCs w:val="22"/>
          <w:lang w:val="es-MX" w:bidi="es-ES"/>
        </w:rPr>
        <w:lastRenderedPageBreak/>
        <w:t>Gobierno del Estado de Yucatán, y tendrán vigencia hasta el treinta y uno de diciembre del mismo año.</w:t>
      </w:r>
    </w:p>
    <w:p w:rsidR="00FF21E7" w:rsidRPr="00FF21E7" w:rsidRDefault="00FF21E7" w:rsidP="00FF21E7">
      <w:pPr>
        <w:widowControl w:val="0"/>
        <w:autoSpaceDE w:val="0"/>
        <w:autoSpaceDN w:val="0"/>
        <w:spacing w:line="360" w:lineRule="auto"/>
        <w:jc w:val="both"/>
        <w:rPr>
          <w:rFonts w:ascii="Arial" w:eastAsia="Arial" w:hAnsi="Arial" w:cs="Arial"/>
          <w:sz w:val="22"/>
          <w:szCs w:val="22"/>
          <w:lang w:val="es-MX" w:bidi="es-ES"/>
        </w:rPr>
      </w:pPr>
    </w:p>
    <w:p w:rsidR="00FF21E7" w:rsidRPr="00FF21E7" w:rsidRDefault="00FF21E7" w:rsidP="00FF21E7">
      <w:pPr>
        <w:widowControl w:val="0"/>
        <w:autoSpaceDE w:val="0"/>
        <w:autoSpaceDN w:val="0"/>
        <w:spacing w:line="360" w:lineRule="auto"/>
        <w:jc w:val="both"/>
        <w:rPr>
          <w:rFonts w:ascii="Arial" w:eastAsia="Arial" w:hAnsi="Arial" w:cs="Arial"/>
          <w:sz w:val="22"/>
          <w:szCs w:val="22"/>
          <w:shd w:val="clear" w:color="auto" w:fill="FFFFFF"/>
          <w:lang w:val="es-MX" w:bidi="es-ES"/>
        </w:rPr>
      </w:pPr>
      <w:r w:rsidRPr="00FF21E7">
        <w:rPr>
          <w:rFonts w:ascii="Arial" w:eastAsia="Arial" w:hAnsi="Arial" w:cs="Arial"/>
          <w:b/>
          <w:sz w:val="22"/>
          <w:szCs w:val="22"/>
          <w:lang w:val="es-MX" w:bidi="es-ES"/>
        </w:rPr>
        <w:t xml:space="preserve">Artículo segundo. </w:t>
      </w:r>
      <w:r w:rsidRPr="00FF21E7">
        <w:rPr>
          <w:rFonts w:ascii="Arial" w:eastAsia="Arial" w:hAnsi="Arial" w:cs="Arial"/>
          <w:sz w:val="22"/>
          <w:szCs w:val="22"/>
          <w:shd w:val="clear" w:color="auto" w:fill="FFFFFF"/>
          <w:lang w:val="es-MX"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F21E7">
        <w:rPr>
          <w:rFonts w:ascii="Arial" w:eastAsia="Arial" w:hAnsi="Arial" w:cs="Arial"/>
          <w:bCs/>
          <w:iCs/>
          <w:sz w:val="22"/>
          <w:szCs w:val="22"/>
          <w:shd w:val="clear" w:color="auto" w:fill="FFFFFF"/>
          <w:lang w:val="es-MX" w:bidi="es-ES"/>
        </w:rPr>
        <w:t xml:space="preserve">dará </w:t>
      </w:r>
      <w:r w:rsidRPr="00FF21E7">
        <w:rPr>
          <w:rFonts w:ascii="Arial" w:eastAsia="Arial" w:hAnsi="Arial" w:cs="Arial"/>
          <w:sz w:val="22"/>
          <w:szCs w:val="22"/>
          <w:shd w:val="clear" w:color="auto" w:fill="FFFFFF"/>
          <w:lang w:val="es-MX"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FF21E7" w:rsidRPr="00FF21E7" w:rsidRDefault="00FF21E7" w:rsidP="00FF21E7">
      <w:pPr>
        <w:widowControl w:val="0"/>
        <w:autoSpaceDE w:val="0"/>
        <w:autoSpaceDN w:val="0"/>
        <w:jc w:val="both"/>
        <w:rPr>
          <w:rFonts w:ascii="Arial" w:eastAsia="Arial" w:hAnsi="Arial" w:cs="Arial"/>
          <w:b/>
          <w:sz w:val="22"/>
          <w:szCs w:val="22"/>
          <w:shd w:val="clear" w:color="auto" w:fill="FFFFFF"/>
          <w:lang w:val="es-MX" w:bidi="es-ES"/>
        </w:rPr>
      </w:pPr>
    </w:p>
    <w:p w:rsidR="00FF21E7" w:rsidRPr="00FF21E7" w:rsidRDefault="00FF21E7" w:rsidP="00FF21E7">
      <w:pPr>
        <w:widowControl w:val="0"/>
        <w:autoSpaceDE w:val="0"/>
        <w:autoSpaceDN w:val="0"/>
        <w:spacing w:line="360" w:lineRule="auto"/>
        <w:jc w:val="both"/>
        <w:rPr>
          <w:rFonts w:ascii="Arial" w:eastAsia="Arial" w:hAnsi="Arial" w:cs="Arial"/>
          <w:sz w:val="22"/>
          <w:szCs w:val="22"/>
          <w:lang w:val="es-MX" w:bidi="es-ES"/>
        </w:rPr>
      </w:pPr>
      <w:r w:rsidRPr="00FF21E7">
        <w:rPr>
          <w:rFonts w:ascii="Arial" w:eastAsia="Arial" w:hAnsi="Arial" w:cs="Arial"/>
          <w:b/>
          <w:sz w:val="22"/>
          <w:szCs w:val="22"/>
          <w:shd w:val="clear" w:color="auto" w:fill="FFFFFF"/>
          <w:lang w:val="es-MX" w:bidi="es-ES"/>
        </w:rPr>
        <w:t xml:space="preserve">Artículo tercero. </w:t>
      </w:r>
      <w:r w:rsidRPr="00FF21E7">
        <w:rPr>
          <w:rFonts w:ascii="Arial" w:eastAsia="Arial" w:hAnsi="Arial" w:cs="Arial"/>
          <w:sz w:val="22"/>
          <w:szCs w:val="22"/>
          <w:lang w:val="es-MX"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F21E7" w:rsidRPr="00FF21E7" w:rsidRDefault="00FF21E7" w:rsidP="00FF21E7">
      <w:pPr>
        <w:widowControl w:val="0"/>
        <w:autoSpaceDE w:val="0"/>
        <w:autoSpaceDN w:val="0"/>
        <w:spacing w:line="360" w:lineRule="auto"/>
        <w:jc w:val="both"/>
        <w:rPr>
          <w:rFonts w:ascii="Arial" w:eastAsia="Arial" w:hAnsi="Arial" w:cs="Arial"/>
          <w:sz w:val="20"/>
          <w:szCs w:val="20"/>
          <w:lang w:bidi="es-ES"/>
        </w:rPr>
      </w:pPr>
    </w:p>
    <w:p w:rsidR="00FF21E7" w:rsidRPr="00FF21E7" w:rsidRDefault="00FF21E7" w:rsidP="00FF21E7">
      <w:pPr>
        <w:widowControl w:val="0"/>
        <w:autoSpaceDE w:val="0"/>
        <w:autoSpaceDN w:val="0"/>
        <w:jc w:val="both"/>
        <w:rPr>
          <w:rFonts w:ascii="Arial" w:eastAsia="Arial" w:hAnsi="Arial" w:cs="Arial"/>
          <w:b/>
          <w:sz w:val="20"/>
          <w:szCs w:val="20"/>
          <w:lang w:bidi="es-ES"/>
        </w:rPr>
      </w:pPr>
      <w:r w:rsidRPr="00FF21E7">
        <w:rPr>
          <w:rFonts w:ascii="Arial" w:eastAsia="Arial" w:hAnsi="Arial" w:cs="Arial"/>
          <w:b/>
          <w:sz w:val="20"/>
          <w:szCs w:val="20"/>
          <w:lang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FF21E7" w:rsidRPr="00FF21E7" w:rsidRDefault="00FF21E7" w:rsidP="00FF21E7">
      <w:pPr>
        <w:widowControl w:val="0"/>
        <w:autoSpaceDE w:val="0"/>
        <w:autoSpaceDN w:val="0"/>
        <w:spacing w:line="360" w:lineRule="auto"/>
        <w:jc w:val="both"/>
        <w:rPr>
          <w:rFonts w:ascii="Arial" w:eastAsia="Arial" w:hAnsi="Arial" w:cs="Arial"/>
          <w:sz w:val="20"/>
          <w:szCs w:val="20"/>
          <w:lang w:bidi="es-ES"/>
        </w:rPr>
      </w:pPr>
    </w:p>
    <w:p w:rsidR="00FF21E7" w:rsidRPr="00FF21E7" w:rsidRDefault="00FF21E7" w:rsidP="00FF21E7">
      <w:pPr>
        <w:widowControl w:val="0"/>
        <w:autoSpaceDE w:val="0"/>
        <w:autoSpaceDN w:val="0"/>
        <w:spacing w:line="360" w:lineRule="auto"/>
        <w:jc w:val="both"/>
        <w:rPr>
          <w:rFonts w:ascii="Arial" w:eastAsia="Arial" w:hAnsi="Arial" w:cs="Arial"/>
          <w:sz w:val="20"/>
          <w:szCs w:val="20"/>
          <w:lang w:bidi="es-ES"/>
        </w:rPr>
      </w:pPr>
      <w:r w:rsidRPr="00FF21E7">
        <w:rPr>
          <w:rFonts w:ascii="Arial" w:eastAsia="Arial" w:hAnsi="Arial" w:cs="Arial"/>
          <w:sz w:val="20"/>
          <w:szCs w:val="20"/>
          <w:lang w:bidi="es-ES"/>
        </w:rPr>
        <w:t xml:space="preserve">Y, por tanto, mando se imprima, publique y circule para su conocimiento y debido cumplimiento. </w:t>
      </w:r>
    </w:p>
    <w:p w:rsidR="00FF21E7" w:rsidRPr="00FF21E7" w:rsidRDefault="00FF21E7" w:rsidP="00FF21E7">
      <w:pPr>
        <w:widowControl w:val="0"/>
        <w:autoSpaceDE w:val="0"/>
        <w:autoSpaceDN w:val="0"/>
        <w:spacing w:line="360" w:lineRule="auto"/>
        <w:jc w:val="both"/>
        <w:rPr>
          <w:rFonts w:ascii="Arial" w:eastAsia="Arial" w:hAnsi="Arial" w:cs="Arial"/>
          <w:sz w:val="20"/>
          <w:szCs w:val="20"/>
          <w:lang w:bidi="es-ES"/>
        </w:rPr>
      </w:pPr>
    </w:p>
    <w:p w:rsidR="00FF21E7" w:rsidRPr="00FF21E7" w:rsidRDefault="00FF21E7" w:rsidP="00FF21E7">
      <w:pPr>
        <w:widowControl w:val="0"/>
        <w:autoSpaceDE w:val="0"/>
        <w:autoSpaceDN w:val="0"/>
        <w:spacing w:line="360" w:lineRule="auto"/>
        <w:jc w:val="both"/>
        <w:rPr>
          <w:rFonts w:ascii="Arial" w:eastAsia="Arial" w:hAnsi="Arial" w:cs="Arial"/>
          <w:sz w:val="20"/>
          <w:szCs w:val="20"/>
          <w:lang w:bidi="es-ES"/>
        </w:rPr>
      </w:pPr>
      <w:r w:rsidRPr="00FF21E7">
        <w:rPr>
          <w:rFonts w:ascii="Arial" w:eastAsia="Arial" w:hAnsi="Arial" w:cs="Arial"/>
          <w:sz w:val="20"/>
          <w:szCs w:val="20"/>
          <w:lang w:bidi="es-ES"/>
        </w:rPr>
        <w:t xml:space="preserve">Se expide este decreto en la sede del Poder Ejecutivo, en Mérida, Yucatán, a 23 de diciembre de 2020. </w:t>
      </w:r>
    </w:p>
    <w:p w:rsidR="00FF21E7" w:rsidRPr="00FF21E7" w:rsidRDefault="00FF21E7" w:rsidP="00FF21E7">
      <w:pPr>
        <w:widowControl w:val="0"/>
        <w:autoSpaceDE w:val="0"/>
        <w:autoSpaceDN w:val="0"/>
        <w:jc w:val="center"/>
        <w:rPr>
          <w:rFonts w:ascii="Arial" w:eastAsia="Arial" w:hAnsi="Arial" w:cs="Arial"/>
          <w:b/>
          <w:sz w:val="20"/>
          <w:szCs w:val="20"/>
          <w:lang w:bidi="es-ES"/>
        </w:rPr>
      </w:pPr>
      <w:r w:rsidRPr="00FF21E7">
        <w:rPr>
          <w:rFonts w:ascii="Arial" w:eastAsia="Arial" w:hAnsi="Arial" w:cs="Arial"/>
          <w:b/>
          <w:sz w:val="20"/>
          <w:szCs w:val="20"/>
          <w:lang w:bidi="es-ES"/>
        </w:rPr>
        <w:t>( RÚBRICA )</w:t>
      </w:r>
    </w:p>
    <w:p w:rsidR="00FF21E7" w:rsidRPr="00FF21E7" w:rsidRDefault="00FF21E7" w:rsidP="00FF21E7">
      <w:pPr>
        <w:widowControl w:val="0"/>
        <w:autoSpaceDE w:val="0"/>
        <w:autoSpaceDN w:val="0"/>
        <w:jc w:val="center"/>
        <w:rPr>
          <w:rFonts w:ascii="Arial" w:eastAsia="Arial" w:hAnsi="Arial" w:cs="Arial"/>
          <w:b/>
          <w:sz w:val="20"/>
          <w:szCs w:val="20"/>
          <w:lang w:bidi="es-ES"/>
        </w:rPr>
      </w:pPr>
      <w:r w:rsidRPr="00FF21E7">
        <w:rPr>
          <w:rFonts w:ascii="Arial" w:eastAsia="Arial" w:hAnsi="Arial" w:cs="Arial"/>
          <w:b/>
          <w:sz w:val="20"/>
          <w:szCs w:val="20"/>
          <w:lang w:bidi="es-ES"/>
        </w:rPr>
        <w:t xml:space="preserve">Lic. Mauricio Vila Dosal </w:t>
      </w:r>
    </w:p>
    <w:p w:rsidR="00FF21E7" w:rsidRPr="00FF21E7" w:rsidRDefault="00FF21E7" w:rsidP="00FF21E7">
      <w:pPr>
        <w:widowControl w:val="0"/>
        <w:autoSpaceDE w:val="0"/>
        <w:autoSpaceDN w:val="0"/>
        <w:jc w:val="center"/>
        <w:rPr>
          <w:rFonts w:ascii="Arial" w:eastAsia="Arial" w:hAnsi="Arial" w:cs="Arial"/>
          <w:b/>
          <w:sz w:val="20"/>
          <w:szCs w:val="20"/>
          <w:lang w:bidi="es-ES"/>
        </w:rPr>
      </w:pPr>
      <w:r w:rsidRPr="00FF21E7">
        <w:rPr>
          <w:rFonts w:ascii="Arial" w:eastAsia="Arial" w:hAnsi="Arial" w:cs="Arial"/>
          <w:b/>
          <w:sz w:val="20"/>
          <w:szCs w:val="20"/>
          <w:lang w:bidi="es-ES"/>
        </w:rPr>
        <w:t>Gobernador del Estado de Yucatán</w:t>
      </w:r>
    </w:p>
    <w:p w:rsidR="00FF21E7" w:rsidRPr="00FF21E7" w:rsidRDefault="00FF21E7" w:rsidP="00FF21E7">
      <w:pPr>
        <w:widowControl w:val="0"/>
        <w:autoSpaceDE w:val="0"/>
        <w:autoSpaceDN w:val="0"/>
        <w:spacing w:line="360" w:lineRule="auto"/>
        <w:jc w:val="both"/>
        <w:rPr>
          <w:rFonts w:ascii="Arial" w:eastAsia="Arial" w:hAnsi="Arial" w:cs="Arial"/>
          <w:b/>
          <w:sz w:val="20"/>
          <w:szCs w:val="20"/>
          <w:lang w:bidi="es-ES"/>
        </w:rPr>
      </w:pPr>
    </w:p>
    <w:p w:rsidR="00FF21E7" w:rsidRPr="00FF21E7" w:rsidRDefault="00FF21E7" w:rsidP="00FF21E7">
      <w:pPr>
        <w:widowControl w:val="0"/>
        <w:autoSpaceDE w:val="0"/>
        <w:autoSpaceDN w:val="0"/>
        <w:jc w:val="both"/>
        <w:rPr>
          <w:rFonts w:ascii="Arial" w:eastAsia="Arial" w:hAnsi="Arial" w:cs="Arial"/>
          <w:b/>
          <w:sz w:val="20"/>
          <w:szCs w:val="20"/>
          <w:lang w:bidi="es-ES"/>
        </w:rPr>
      </w:pPr>
      <w:r w:rsidRPr="00FF21E7">
        <w:rPr>
          <w:rFonts w:ascii="Arial" w:eastAsia="Arial" w:hAnsi="Arial" w:cs="Arial"/>
          <w:b/>
          <w:sz w:val="20"/>
          <w:szCs w:val="20"/>
          <w:lang w:bidi="es-ES"/>
        </w:rPr>
        <w:t xml:space="preserve">( RÚBRICA ) </w:t>
      </w:r>
    </w:p>
    <w:p w:rsidR="00FF21E7" w:rsidRPr="00FF21E7" w:rsidRDefault="00FF21E7" w:rsidP="00FF21E7">
      <w:pPr>
        <w:widowControl w:val="0"/>
        <w:autoSpaceDE w:val="0"/>
        <w:autoSpaceDN w:val="0"/>
        <w:jc w:val="both"/>
        <w:rPr>
          <w:rFonts w:ascii="Arial" w:eastAsia="Arial" w:hAnsi="Arial" w:cs="Arial"/>
          <w:b/>
          <w:sz w:val="20"/>
          <w:szCs w:val="20"/>
          <w:lang w:bidi="es-ES"/>
        </w:rPr>
      </w:pPr>
      <w:r w:rsidRPr="00FF21E7">
        <w:rPr>
          <w:rFonts w:ascii="Arial" w:eastAsia="Arial" w:hAnsi="Arial" w:cs="Arial"/>
          <w:b/>
          <w:sz w:val="20"/>
          <w:szCs w:val="20"/>
          <w:lang w:bidi="es-ES"/>
        </w:rPr>
        <w:t xml:space="preserve">Abog. María Dolores Fritz Sierra </w:t>
      </w:r>
    </w:p>
    <w:p w:rsidR="00FF21E7" w:rsidRPr="00FF21E7" w:rsidRDefault="00FF21E7" w:rsidP="00FF21E7">
      <w:pPr>
        <w:widowControl w:val="0"/>
        <w:autoSpaceDE w:val="0"/>
        <w:autoSpaceDN w:val="0"/>
        <w:jc w:val="both"/>
        <w:rPr>
          <w:rFonts w:ascii="Arial" w:eastAsia="Arial" w:hAnsi="Arial" w:cs="Arial"/>
          <w:b/>
          <w:sz w:val="20"/>
          <w:szCs w:val="20"/>
          <w:lang w:bidi="es-ES"/>
        </w:rPr>
      </w:pPr>
      <w:r w:rsidRPr="00FF21E7">
        <w:rPr>
          <w:rFonts w:ascii="Arial" w:eastAsia="Arial" w:hAnsi="Arial" w:cs="Arial"/>
          <w:b/>
          <w:sz w:val="20"/>
          <w:szCs w:val="20"/>
          <w:lang w:bidi="es-ES"/>
        </w:rPr>
        <w:t>Secretaria general de Gobierno</w:t>
      </w:r>
    </w:p>
    <w:p w:rsidR="00FF21E7" w:rsidRPr="00FF21E7" w:rsidRDefault="00FF21E7" w:rsidP="00FF21E7">
      <w:pPr>
        <w:widowControl w:val="0"/>
        <w:autoSpaceDE w:val="0"/>
        <w:autoSpaceDN w:val="0"/>
        <w:rPr>
          <w:rFonts w:ascii="Arial" w:eastAsia="Arial" w:hAnsi="Arial" w:cs="Arial"/>
          <w:sz w:val="22"/>
          <w:szCs w:val="22"/>
          <w:lang w:bidi="es-ES"/>
        </w:rPr>
      </w:pPr>
    </w:p>
    <w:p w:rsidR="00FF21E7" w:rsidRPr="00FF21E7" w:rsidRDefault="00FF21E7" w:rsidP="00FF21E7">
      <w:pPr>
        <w:widowControl w:val="0"/>
        <w:autoSpaceDE w:val="0"/>
        <w:autoSpaceDN w:val="0"/>
        <w:rPr>
          <w:rFonts w:ascii="Arial" w:eastAsia="Arial" w:hAnsi="Arial" w:cs="Arial"/>
          <w:sz w:val="22"/>
          <w:szCs w:val="22"/>
          <w:lang w:bidi="es-ES"/>
        </w:rPr>
      </w:pPr>
    </w:p>
    <w:sectPr w:rsidR="00FF21E7" w:rsidRPr="00FF21E7" w:rsidSect="00266205">
      <w:footerReference w:type="default" r:id="rId12"/>
      <w:pgSz w:w="12240" w:h="15840" w:code="1"/>
      <w:pgMar w:top="2127" w:right="1418" w:bottom="1559"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8D" w:rsidRDefault="00C7418D" w:rsidP="00757CC2">
      <w:r>
        <w:separator/>
      </w:r>
    </w:p>
  </w:endnote>
  <w:endnote w:type="continuationSeparator" w:id="0">
    <w:p w:rsidR="00C7418D" w:rsidRDefault="00C7418D"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957189"/>
      <w:docPartObj>
        <w:docPartGallery w:val="Page Numbers (Bottom of Page)"/>
        <w:docPartUnique/>
      </w:docPartObj>
    </w:sdtPr>
    <w:sdtEndPr>
      <w:rPr>
        <w:sz w:val="20"/>
        <w:szCs w:val="20"/>
      </w:rPr>
    </w:sdtEndPr>
    <w:sdtContent>
      <w:p w:rsidR="00087D4A" w:rsidRPr="00087D4A" w:rsidRDefault="00087D4A">
        <w:pPr>
          <w:pStyle w:val="Piedepgina"/>
          <w:jc w:val="center"/>
          <w:rPr>
            <w:sz w:val="20"/>
            <w:szCs w:val="20"/>
          </w:rPr>
        </w:pPr>
        <w:r w:rsidRPr="00087D4A">
          <w:rPr>
            <w:sz w:val="20"/>
            <w:szCs w:val="20"/>
          </w:rPr>
          <w:fldChar w:fldCharType="begin"/>
        </w:r>
        <w:r w:rsidRPr="00087D4A">
          <w:rPr>
            <w:sz w:val="20"/>
            <w:szCs w:val="20"/>
          </w:rPr>
          <w:instrText>PAGE   \* MERGEFORMAT</w:instrText>
        </w:r>
        <w:r w:rsidRPr="00087D4A">
          <w:rPr>
            <w:sz w:val="20"/>
            <w:szCs w:val="20"/>
          </w:rPr>
          <w:fldChar w:fldCharType="separate"/>
        </w:r>
        <w:r w:rsidR="00FF21E7">
          <w:rPr>
            <w:noProof/>
            <w:sz w:val="20"/>
            <w:szCs w:val="20"/>
          </w:rPr>
          <w:t>2</w:t>
        </w:r>
        <w:r w:rsidRPr="00087D4A">
          <w:rPr>
            <w:sz w:val="20"/>
            <w:szCs w:val="20"/>
          </w:rPr>
          <w:fldChar w:fldCharType="end"/>
        </w:r>
      </w:p>
    </w:sdtContent>
  </w:sdt>
  <w:p w:rsidR="00087D4A" w:rsidRDefault="00087D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8D" w:rsidRDefault="00C7418D" w:rsidP="00757CC2">
      <w:r>
        <w:separator/>
      </w:r>
    </w:p>
  </w:footnote>
  <w:footnote w:type="continuationSeparator" w:id="0">
    <w:p w:rsidR="00C7418D" w:rsidRDefault="00C7418D" w:rsidP="00757CC2">
      <w:r>
        <w:continuationSeparator/>
      </w:r>
    </w:p>
  </w:footnote>
  <w:footnote w:id="1">
    <w:p w:rsidR="00266205" w:rsidRPr="00BA3B35" w:rsidRDefault="00266205" w:rsidP="0026620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266205" w:rsidRDefault="00266205" w:rsidP="00266205"/>
    <w:p w:rsidR="00266205" w:rsidRPr="00BA3B35" w:rsidRDefault="00266205" w:rsidP="00266205">
      <w:pPr>
        <w:pStyle w:val="Textonotapie"/>
      </w:pPr>
    </w:p>
  </w:footnote>
  <w:footnote w:id="2">
    <w:p w:rsidR="00266205" w:rsidRPr="00A33CFF" w:rsidRDefault="00266205" w:rsidP="0026620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66205" w:rsidRPr="00221E2F" w:rsidRDefault="00266205" w:rsidP="00266205">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266205" w:rsidRPr="00026CE0" w:rsidRDefault="00266205" w:rsidP="0026620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66205" w:rsidTr="00885FB8">
      <w:trPr>
        <w:cantSplit/>
        <w:trHeight w:val="329"/>
      </w:trPr>
      <w:tc>
        <w:tcPr>
          <w:tcW w:w="1260" w:type="dxa"/>
          <w:vMerge w:val="restart"/>
          <w:vAlign w:val="center"/>
        </w:tcPr>
        <w:p w:rsidR="00266205" w:rsidRDefault="00266205" w:rsidP="00266205">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4pt;height:48.9pt">
                <v:imagedata r:id="rId1" o:title=""/>
              </v:shape>
              <o:OLEObject Type="Embed" ProgID="Word.Picture.8" ShapeID="_x0000_i1039" DrawAspect="Content" ObjectID="_1692605227" r:id="rId2"/>
            </w:object>
          </w:r>
        </w:p>
      </w:tc>
      <w:tc>
        <w:tcPr>
          <w:tcW w:w="9000" w:type="dxa"/>
          <w:gridSpan w:val="2"/>
          <w:tcBorders>
            <w:bottom w:val="double" w:sz="4" w:space="0" w:color="auto"/>
          </w:tcBorders>
          <w:vAlign w:val="bottom"/>
        </w:tcPr>
        <w:p w:rsidR="00266205" w:rsidRDefault="00266205" w:rsidP="0026620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THADZIU</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66205" w:rsidTr="00885FB8">
      <w:trPr>
        <w:cantSplit/>
        <w:trHeight w:val="49"/>
      </w:trPr>
      <w:tc>
        <w:tcPr>
          <w:tcW w:w="1260" w:type="dxa"/>
          <w:vMerge/>
        </w:tcPr>
        <w:p w:rsidR="00266205" w:rsidRDefault="00266205" w:rsidP="00266205">
          <w:pPr>
            <w:pStyle w:val="Encabezado"/>
            <w:rPr>
              <w:rFonts w:ascii="CG Omega" w:hAnsi="CG Omega" w:cs="CG Omega"/>
              <w:sz w:val="16"/>
              <w:szCs w:val="16"/>
            </w:rPr>
          </w:pPr>
        </w:p>
      </w:tc>
      <w:tc>
        <w:tcPr>
          <w:tcW w:w="9000" w:type="dxa"/>
          <w:gridSpan w:val="2"/>
          <w:tcBorders>
            <w:top w:val="double" w:sz="4" w:space="0" w:color="auto"/>
          </w:tcBorders>
        </w:tcPr>
        <w:p w:rsidR="00266205" w:rsidRDefault="00266205" w:rsidP="00266205">
          <w:pPr>
            <w:pStyle w:val="Encabezado"/>
            <w:ind w:left="-70"/>
            <w:jc w:val="right"/>
            <w:rPr>
              <w:rFonts w:ascii="Arial Narrow" w:hAnsi="Arial Narrow" w:cs="Arial Narrow"/>
              <w:sz w:val="4"/>
              <w:szCs w:val="4"/>
            </w:rPr>
          </w:pPr>
        </w:p>
      </w:tc>
    </w:tr>
    <w:tr w:rsidR="00266205" w:rsidTr="00885FB8">
      <w:trPr>
        <w:cantSplit/>
        <w:trHeight w:val="291"/>
      </w:trPr>
      <w:tc>
        <w:tcPr>
          <w:tcW w:w="1260" w:type="dxa"/>
          <w:vMerge/>
        </w:tcPr>
        <w:p w:rsidR="00266205" w:rsidRDefault="00266205" w:rsidP="00266205">
          <w:pPr>
            <w:pStyle w:val="Encabezado"/>
            <w:rPr>
              <w:rFonts w:ascii="CG Omega" w:hAnsi="CG Omega" w:cs="CG Omega"/>
              <w:sz w:val="16"/>
              <w:szCs w:val="16"/>
            </w:rPr>
          </w:pPr>
        </w:p>
      </w:tc>
      <w:tc>
        <w:tcPr>
          <w:tcW w:w="4212" w:type="dxa"/>
        </w:tcPr>
        <w:p w:rsidR="00266205" w:rsidRDefault="00266205" w:rsidP="00266205">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266205" w:rsidRDefault="00266205" w:rsidP="00266205">
          <w:pPr>
            <w:pStyle w:val="Encabezado"/>
            <w:spacing w:line="256" w:lineRule="auto"/>
            <w:ind w:left="110"/>
            <w:rPr>
              <w:sz w:val="17"/>
              <w:szCs w:val="17"/>
              <w:lang w:eastAsia="en-US"/>
            </w:rPr>
          </w:pPr>
          <w:r>
            <w:rPr>
              <w:sz w:val="17"/>
              <w:szCs w:val="17"/>
              <w:lang w:eastAsia="en-US"/>
            </w:rPr>
            <w:t>Secretaría General del Poder Legislativo</w:t>
          </w:r>
        </w:p>
        <w:p w:rsidR="00266205" w:rsidRDefault="00266205" w:rsidP="00266205">
          <w:pPr>
            <w:pStyle w:val="Encabezado"/>
            <w:ind w:left="-70"/>
            <w:rPr>
              <w:rFonts w:ascii="Arial Narrow" w:hAnsi="Arial Narrow" w:cs="Arial Narrow"/>
              <w:sz w:val="4"/>
              <w:szCs w:val="4"/>
            </w:rPr>
          </w:pPr>
        </w:p>
      </w:tc>
      <w:tc>
        <w:tcPr>
          <w:tcW w:w="4788" w:type="dxa"/>
        </w:tcPr>
        <w:p w:rsidR="00266205" w:rsidRPr="001D52AB" w:rsidRDefault="00266205" w:rsidP="0026620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66205" w:rsidRDefault="002662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E71E7"/>
    <w:multiLevelType w:val="hybridMultilevel"/>
    <w:tmpl w:val="F0CA2AEC"/>
    <w:lvl w:ilvl="0" w:tplc="E06C2CC4">
      <w:start w:val="1"/>
      <w:numFmt w:val="lowerLetter"/>
      <w:lvlText w:val="%1)"/>
      <w:lvlJc w:val="left"/>
      <w:pPr>
        <w:ind w:left="1287" w:hanging="360"/>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8280EDF"/>
    <w:multiLevelType w:val="hybridMultilevel"/>
    <w:tmpl w:val="81FC229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06EEA"/>
    <w:multiLevelType w:val="hybridMultilevel"/>
    <w:tmpl w:val="AD24E944"/>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5A14D3"/>
    <w:multiLevelType w:val="hybridMultilevel"/>
    <w:tmpl w:val="5E08CB2C"/>
    <w:lvl w:ilvl="0" w:tplc="E06C2CC4">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1129EE"/>
    <w:multiLevelType w:val="hybridMultilevel"/>
    <w:tmpl w:val="936E77A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7"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683BD1"/>
    <w:multiLevelType w:val="hybridMultilevel"/>
    <w:tmpl w:val="77686870"/>
    <w:lvl w:ilvl="0" w:tplc="F83C98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7"/>
    <w:lvlOverride w:ilvl="0">
      <w:startOverride w:val="1"/>
    </w:lvlOverride>
  </w:num>
  <w:num w:numId="6">
    <w:abstractNumId w:val="7"/>
    <w:lvlOverride w:ilvl="0">
      <w:startOverride w:val="1"/>
    </w:lvlOverride>
  </w:num>
  <w:num w:numId="7">
    <w:abstractNumId w:val="8"/>
  </w:num>
  <w:num w:numId="8">
    <w:abstractNumId w:val="7"/>
    <w:lvlOverride w:ilvl="0">
      <w:startOverride w:val="1"/>
    </w:lvlOverride>
  </w:num>
  <w:num w:numId="9">
    <w:abstractNumId w:val="3"/>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C2"/>
    <w:rsid w:val="00006A74"/>
    <w:rsid w:val="000155A1"/>
    <w:rsid w:val="00030487"/>
    <w:rsid w:val="00043CAD"/>
    <w:rsid w:val="000508D3"/>
    <w:rsid w:val="0007653A"/>
    <w:rsid w:val="00084278"/>
    <w:rsid w:val="00087D4A"/>
    <w:rsid w:val="000924FE"/>
    <w:rsid w:val="0009662D"/>
    <w:rsid w:val="000968DB"/>
    <w:rsid w:val="000A263F"/>
    <w:rsid w:val="000F578D"/>
    <w:rsid w:val="00100C89"/>
    <w:rsid w:val="00112694"/>
    <w:rsid w:val="00132528"/>
    <w:rsid w:val="00141527"/>
    <w:rsid w:val="00183618"/>
    <w:rsid w:val="00192A8A"/>
    <w:rsid w:val="001944C3"/>
    <w:rsid w:val="00194881"/>
    <w:rsid w:val="001A35C7"/>
    <w:rsid w:val="001B44A1"/>
    <w:rsid w:val="001C20A8"/>
    <w:rsid w:val="001D131E"/>
    <w:rsid w:val="001F2D87"/>
    <w:rsid w:val="001F489F"/>
    <w:rsid w:val="00202CE3"/>
    <w:rsid w:val="002145A9"/>
    <w:rsid w:val="00235CA7"/>
    <w:rsid w:val="00237C97"/>
    <w:rsid w:val="00266205"/>
    <w:rsid w:val="00287E6C"/>
    <w:rsid w:val="00290F39"/>
    <w:rsid w:val="002D08A6"/>
    <w:rsid w:val="002E0435"/>
    <w:rsid w:val="002E0C80"/>
    <w:rsid w:val="002E47CC"/>
    <w:rsid w:val="00320959"/>
    <w:rsid w:val="003256ED"/>
    <w:rsid w:val="003405E4"/>
    <w:rsid w:val="00342CC0"/>
    <w:rsid w:val="00356A94"/>
    <w:rsid w:val="00357899"/>
    <w:rsid w:val="0037156A"/>
    <w:rsid w:val="003748DF"/>
    <w:rsid w:val="0038606A"/>
    <w:rsid w:val="003871D1"/>
    <w:rsid w:val="003940BD"/>
    <w:rsid w:val="003B357C"/>
    <w:rsid w:val="003B3D59"/>
    <w:rsid w:val="003D2E5B"/>
    <w:rsid w:val="00460FAF"/>
    <w:rsid w:val="00474EA8"/>
    <w:rsid w:val="004A7FD0"/>
    <w:rsid w:val="004F5A4B"/>
    <w:rsid w:val="0050386D"/>
    <w:rsid w:val="00517964"/>
    <w:rsid w:val="005219D8"/>
    <w:rsid w:val="005340ED"/>
    <w:rsid w:val="00540977"/>
    <w:rsid w:val="005666C6"/>
    <w:rsid w:val="00581E35"/>
    <w:rsid w:val="005E6BDA"/>
    <w:rsid w:val="005F1BEC"/>
    <w:rsid w:val="0064096C"/>
    <w:rsid w:val="006564E1"/>
    <w:rsid w:val="006623E5"/>
    <w:rsid w:val="006873AB"/>
    <w:rsid w:val="00694442"/>
    <w:rsid w:val="00695825"/>
    <w:rsid w:val="006A733E"/>
    <w:rsid w:val="006C0A0E"/>
    <w:rsid w:val="006D34C7"/>
    <w:rsid w:val="006E354B"/>
    <w:rsid w:val="00711258"/>
    <w:rsid w:val="00711DC7"/>
    <w:rsid w:val="007334A8"/>
    <w:rsid w:val="007412A1"/>
    <w:rsid w:val="00746254"/>
    <w:rsid w:val="00750924"/>
    <w:rsid w:val="007533C3"/>
    <w:rsid w:val="00757CC2"/>
    <w:rsid w:val="0076396F"/>
    <w:rsid w:val="00765D68"/>
    <w:rsid w:val="007B550D"/>
    <w:rsid w:val="007C3714"/>
    <w:rsid w:val="007D569C"/>
    <w:rsid w:val="007D668B"/>
    <w:rsid w:val="007E4DD5"/>
    <w:rsid w:val="007E5AED"/>
    <w:rsid w:val="007F46A9"/>
    <w:rsid w:val="008013BC"/>
    <w:rsid w:val="00844BD5"/>
    <w:rsid w:val="00895667"/>
    <w:rsid w:val="008977E6"/>
    <w:rsid w:val="008A51A5"/>
    <w:rsid w:val="008D30ED"/>
    <w:rsid w:val="008E22DC"/>
    <w:rsid w:val="00907802"/>
    <w:rsid w:val="0093556B"/>
    <w:rsid w:val="00956D98"/>
    <w:rsid w:val="00986968"/>
    <w:rsid w:val="00990741"/>
    <w:rsid w:val="009B1FED"/>
    <w:rsid w:val="009E00C4"/>
    <w:rsid w:val="009F2CA0"/>
    <w:rsid w:val="00A30177"/>
    <w:rsid w:val="00A64B1B"/>
    <w:rsid w:val="00A8716A"/>
    <w:rsid w:val="00A9756C"/>
    <w:rsid w:val="00AB16C6"/>
    <w:rsid w:val="00AB4302"/>
    <w:rsid w:val="00AD5FC1"/>
    <w:rsid w:val="00AE3E5C"/>
    <w:rsid w:val="00B0241A"/>
    <w:rsid w:val="00B15821"/>
    <w:rsid w:val="00B27370"/>
    <w:rsid w:val="00B34D02"/>
    <w:rsid w:val="00B82E78"/>
    <w:rsid w:val="00B94FFE"/>
    <w:rsid w:val="00BB6262"/>
    <w:rsid w:val="00BC411F"/>
    <w:rsid w:val="00BE29A7"/>
    <w:rsid w:val="00C039C2"/>
    <w:rsid w:val="00C10097"/>
    <w:rsid w:val="00C17CC9"/>
    <w:rsid w:val="00C42E12"/>
    <w:rsid w:val="00C7418D"/>
    <w:rsid w:val="00CA4C32"/>
    <w:rsid w:val="00CF6306"/>
    <w:rsid w:val="00CF67C7"/>
    <w:rsid w:val="00D1794E"/>
    <w:rsid w:val="00D2238D"/>
    <w:rsid w:val="00D229B7"/>
    <w:rsid w:val="00D32C07"/>
    <w:rsid w:val="00D3657D"/>
    <w:rsid w:val="00D541D9"/>
    <w:rsid w:val="00D55AA1"/>
    <w:rsid w:val="00D77297"/>
    <w:rsid w:val="00DA4AE8"/>
    <w:rsid w:val="00DE11BF"/>
    <w:rsid w:val="00DF45CE"/>
    <w:rsid w:val="00E343E6"/>
    <w:rsid w:val="00E442D7"/>
    <w:rsid w:val="00E63D01"/>
    <w:rsid w:val="00E91578"/>
    <w:rsid w:val="00E93EEA"/>
    <w:rsid w:val="00EB6F3F"/>
    <w:rsid w:val="00EF01CB"/>
    <w:rsid w:val="00EF3900"/>
    <w:rsid w:val="00F16D38"/>
    <w:rsid w:val="00F40775"/>
    <w:rsid w:val="00F7015F"/>
    <w:rsid w:val="00F91099"/>
    <w:rsid w:val="00FA7052"/>
    <w:rsid w:val="00FC56E5"/>
    <w:rsid w:val="00FE3BE2"/>
    <w:rsid w:val="00FE7EFC"/>
    <w:rsid w:val="00FF21E7"/>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3E2289C5"/>
  <w15:docId w15:val="{A824D265-F905-4D95-B367-5476487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semiHidden/>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757CC2"/>
    <w:pPr>
      <w:tabs>
        <w:tab w:val="center" w:pos="4419"/>
        <w:tab w:val="right" w:pos="8838"/>
      </w:tabs>
    </w:pPr>
  </w:style>
  <w:style w:type="character" w:customStyle="1" w:styleId="EncabezadoCar">
    <w:name w:val="Encabezado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semiHidden/>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character" w:customStyle="1" w:styleId="contenido1">
    <w:name w:val="contenido1"/>
    <w:rsid w:val="00FC56E5"/>
    <w:rPr>
      <w:rFonts w:ascii="Arial" w:hAnsi="Arial" w:cs="Arial" w:hint="default"/>
      <w:i w:val="0"/>
      <w:iCs w:val="0"/>
      <w:color w:val="000000"/>
      <w:sz w:val="18"/>
      <w:szCs w:val="18"/>
    </w:rPr>
  </w:style>
  <w:style w:type="paragraph" w:styleId="NormalWeb">
    <w:name w:val="Normal (Web)"/>
    <w:basedOn w:val="Normal"/>
    <w:uiPriority w:val="99"/>
    <w:rsid w:val="00266205"/>
    <w:pPr>
      <w:suppressAutoHyphens/>
      <w:spacing w:before="100" w:after="100"/>
    </w:pPr>
    <w:rPr>
      <w:rFonts w:ascii="Arial" w:hAnsi="Arial" w:cs="Arial"/>
      <w:lang w:val="es-MX" w:eastAsia="ar-SA"/>
    </w:rPr>
  </w:style>
  <w:style w:type="paragraph" w:styleId="Sangra2detindependiente">
    <w:name w:val="Body Text Indent 2"/>
    <w:basedOn w:val="Normal"/>
    <w:link w:val="Sangra2detindependienteCar"/>
    <w:uiPriority w:val="99"/>
    <w:semiHidden/>
    <w:unhideWhenUsed/>
    <w:rsid w:val="002662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66205"/>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266205"/>
    <w:rPr>
      <w:sz w:val="20"/>
      <w:szCs w:val="20"/>
    </w:rPr>
  </w:style>
  <w:style w:type="character" w:customStyle="1" w:styleId="TextonotapieCar">
    <w:name w:val="Texto nota pie Car"/>
    <w:basedOn w:val="Fuentedeprrafopredeter"/>
    <w:link w:val="Textonotapie"/>
    <w:uiPriority w:val="99"/>
    <w:semiHidden/>
    <w:rsid w:val="00266205"/>
    <w:rPr>
      <w:rFonts w:ascii="Times New Roman" w:eastAsia="Times New Roman" w:hAnsi="Times New Roman"/>
      <w:lang w:val="es-ES" w:eastAsia="es-ES"/>
    </w:rPr>
  </w:style>
  <w:style w:type="character" w:styleId="Refdenotaalpie">
    <w:name w:val="footnote reference"/>
    <w:uiPriority w:val="99"/>
    <w:rsid w:val="00266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FF8B-B029-47A0-A746-3AAFCF8D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5894</Words>
  <Characters>32421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Lesly Pantoja</cp:lastModifiedBy>
  <cp:revision>10</cp:revision>
  <cp:lastPrinted>2020-11-24T00:02:00Z</cp:lastPrinted>
  <dcterms:created xsi:type="dcterms:W3CDTF">2020-11-24T00:03:00Z</dcterms:created>
  <dcterms:modified xsi:type="dcterms:W3CDTF">2021-09-08T16:21:00Z</dcterms:modified>
</cp:coreProperties>
</file>